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Aptos Display" w:hAnsi="Aptos Display"/>
          <w:b/>
          <w:color w:val="17365D"/>
          <w:sz w:val="52"/>
        </w:rPr>
        <w:t>Scope of Work</w:t>
      </w:r>
    </w:p>
    <w:p>
      <w:pPr>
        <w:jc w:val="center"/>
      </w:pPr>
      <w:r>
        <w:rPr>
          <w:rFonts w:ascii="Aptos" w:hAnsi="Aptos"/>
          <w:color w:val="2F5597"/>
          <w:sz w:val="26"/>
        </w:rPr>
        <w:t>Self-Hosted Campaign Management &amp; Bulk Email Software</w:t>
      </w:r>
    </w:p>
    <w:p>
      <w:pPr>
        <w:spacing w:before="560"/>
        <w:jc w:val="center"/>
      </w:pPr>
      <w:r>
        <w:rPr>
          <w:rFonts w:ascii="Aptos" w:hAnsi="Aptos"/>
          <w:color w:val="666666"/>
          <w:sz w:val="20"/>
        </w:rPr>
        <w:t>Document code: DOC-02</w:t>
        <w:br/>
        <w:t>Version: 0.3</w:t>
        <w:br/>
        <w:t>Date: 20 September 2026</w:t>
      </w:r>
    </w:p>
    <w:p>
      <w:pPr>
        <w:spacing w:before="500"/>
        <w:jc w:val="center"/>
      </w:pPr>
      <w:r>
        <w:rPr>
          <w:rFonts w:ascii="Aptos" w:hAnsi="Aptos"/>
          <w:i/>
          <w:color w:val="666666"/>
          <w:sz w:val="18"/>
        </w:rPr>
        <w:t>Working title - replace with final product/client name during branding.</w:t>
      </w:r>
    </w:p>
    <w:p>
      <w:r>
        <w:br w:type="page"/>
      </w:r>
    </w:p>
    <w:p>
      <w:pPr>
        <w:pStyle w:val="Heading1"/>
      </w:pPr>
      <w:r>
        <w:t>1. Engagement objective</w:t>
      </w:r>
    </w:p>
    <w:p>
      <w:r>
        <w:t>Design, build, test, deploy and hand over a self-hosted marketing email campaign platform into client-controlled infrastructure. The engagement ends with documented acceptance and operational transfer, except for any separately purchased support or maintenance.</w:t>
      </w:r>
    </w:p>
    <w:p>
      <w:pPr>
        <w:pStyle w:val="Heading1"/>
      </w:pPr>
      <w:r>
        <w:t>2. In-scope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tblHeader w:val="true"/>
        </w:trPr>
        <w:tc>
          <w:tcPr>
            <w:tcW w:type="dxa" w:w="50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Workstream</w:t>
            </w:r>
          </w:p>
        </w:tc>
        <w:tc>
          <w:tcPr>
            <w:tcW w:type="dxa" w:w="50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Deliverable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Foundation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Repository, environments, database migrations, authentication, role-based access, base UI and logging.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7"/>
              </w:rPr>
              <w:t>Audience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7"/>
              </w:rPr>
              <w:t>Contacts, lists/tags, search/filtering, CSV import, deduplication and suppression checks.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Campaigns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Campaign CRUD, subject/sender settings, audience selection, templates, preview, test send and scheduling.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7"/>
              </w:rPr>
              <w:t>Email rendering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7"/>
              </w:rPr>
              <w:t>Responsive template rendering, personalization variables and required footer/unsubscribe elements.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Delivery engine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Redis/BullMQ queueing, workers, local SMTP submission, Postfix transport, configurable rate limits and retries.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Deliverability controls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Unsubscribe, hard-bounce suppression, complaint suppression, DSN/FBL processing and domain status.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Reporting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Sent/delivered/bounced/complaint/unsubscribe counts, recipient event history and campaign export.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Administration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MTA identity/limits, optional relay credentials, users/roles, verified domains and audit log access.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Deployment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Containerized production deployment into client infrastructure, environment configuration and smoke tests.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7"/>
              </w:rPr>
              <w:t>Handover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7"/>
              </w:rPr>
              <w:t>Source/build artifacts as contractually agreed, runbooks, admin guide, credential rotation, training and acceptance sign-off.</w:t>
            </w:r>
          </w:p>
        </w:tc>
      </w:tr>
    </w:tbl>
    <w:p>
      <w:pPr>
        <w:pStyle w:val="Heading1"/>
      </w:pPr>
      <w:r>
        <w:t>3. Out of scope for MVP</w:t>
      </w:r>
    </w:p>
    <w:p>
      <w:pPr>
        <w:pStyle w:val="ListBullet"/>
        <w:spacing w:after="40"/>
      </w:pPr>
      <w:r>
        <w:t>Supplier-operated sending infrastructure after handover; the production MTA is client-controlled and transferred with the deployment.</w:t>
      </w:r>
    </w:p>
    <w:p>
      <w:pPr>
        <w:pStyle w:val="ListBullet"/>
        <w:spacing w:after="40"/>
      </w:pPr>
      <w:r>
        <w:t>Providing a supplier-owned domain, sending IP or sender reputation for client campaigns.</w:t>
      </w:r>
    </w:p>
    <w:p>
      <w:pPr>
        <w:pStyle w:val="ListBullet"/>
        <w:spacing w:after="40"/>
      </w:pPr>
      <w:r>
        <w:t>Building a multi-region or shared proprietary MTA network beyond the single-client outbound MTA included in the MVP.</w:t>
      </w:r>
    </w:p>
    <w:p>
      <w:pPr>
        <w:pStyle w:val="ListBullet"/>
        <w:spacing w:after="40"/>
      </w:pPr>
      <w:r>
        <w:rPr>
          <w:rFonts w:ascii="Aptos" w:hAnsi="Aptos"/>
        </w:rPr>
        <w:t>General-purpose webmail inbox, IMAP synchronization or mailbox hosting.</w:t>
      </w:r>
    </w:p>
    <w:p>
      <w:pPr>
        <w:pStyle w:val="ListBullet"/>
        <w:spacing w:after="40"/>
      </w:pPr>
      <w:r>
        <w:rPr>
          <w:rFonts w:ascii="Aptos" w:hAnsi="Aptos"/>
        </w:rPr>
        <w:t>CRM, sales pipeline, billing/subscription management or customer support desk features.</w:t>
      </w:r>
    </w:p>
    <w:p>
      <w:pPr>
        <w:pStyle w:val="ListBullet"/>
        <w:spacing w:after="40"/>
      </w:pPr>
      <w:r>
        <w:rPr>
          <w:rFonts w:ascii="Aptos" w:hAnsi="Aptos"/>
        </w:rPr>
        <w:t>SMS, WhatsApp, push notifications or other multichannel campaigns.</w:t>
      </w:r>
    </w:p>
    <w:p>
      <w:pPr>
        <w:pStyle w:val="ListBullet"/>
        <w:spacing w:after="40"/>
      </w:pPr>
      <w:r>
        <w:rPr>
          <w:rFonts w:ascii="Aptos" w:hAnsi="Aptos"/>
        </w:rPr>
        <w:t>Advanced automation journeys, predictive send-time optimization or complex attribution.</w:t>
      </w:r>
    </w:p>
    <w:p>
      <w:pPr>
        <w:pStyle w:val="ListBullet"/>
        <w:spacing w:after="40"/>
      </w:pPr>
      <w:r>
        <w:rPr>
          <w:rFonts w:ascii="Aptos" w:hAnsi="Aptos"/>
        </w:rPr>
        <w:t>Legal advice, recipient consent verification services or guarantees of inbox placement.</w:t>
      </w:r>
    </w:p>
    <w:p>
      <w:pPr>
        <w:pStyle w:val="Heading1"/>
      </w:pPr>
      <w:r>
        <w:t>4. Supplier responsibilities</w:t>
      </w:r>
    </w:p>
    <w:p>
      <w:pPr>
        <w:pStyle w:val="ListBullet"/>
        <w:spacing w:after="40"/>
      </w:pPr>
      <w:r>
        <w:rPr>
          <w:rFonts w:ascii="Aptos" w:hAnsi="Aptos"/>
        </w:rPr>
        <w:t>Design and implement the agreed application functionality.</w:t>
      </w:r>
    </w:p>
    <w:p>
      <w:pPr>
        <w:pStyle w:val="ListBullet"/>
        <w:spacing w:after="40"/>
      </w:pPr>
      <w:r>
        <w:rPr>
          <w:rFonts w:ascii="Aptos" w:hAnsi="Aptos"/>
        </w:rPr>
        <w:t>Use secure engineering practices appropriate to the agreed technology stack.</w:t>
      </w:r>
    </w:p>
    <w:p>
      <w:pPr>
        <w:pStyle w:val="ListBullet"/>
        <w:spacing w:after="40"/>
      </w:pPr>
      <w:r>
        <w:t>Implement and document a client-controlled outbound MTA for direct-to-MX delivery, with an optional SMTP relay adapter for contingency use.</w:t>
      </w:r>
    </w:p>
    <w:p>
      <w:pPr>
        <w:pStyle w:val="ListBullet"/>
        <w:spacing w:after="40"/>
      </w:pPr>
      <w:r>
        <w:rPr>
          <w:rFonts w:ascii="Aptos" w:hAnsi="Aptos"/>
        </w:rPr>
        <w:t>Deploy to the client-controlled environment using agreed access procedures.</w:t>
      </w:r>
    </w:p>
    <w:p>
      <w:pPr>
        <w:pStyle w:val="ListBullet"/>
        <w:spacing w:after="40"/>
      </w:pPr>
      <w:r>
        <w:rPr>
          <w:rFonts w:ascii="Aptos" w:hAnsi="Aptos"/>
        </w:rPr>
        <w:t>Execute agreed functional, integration and load tests.</w:t>
      </w:r>
    </w:p>
    <w:p>
      <w:pPr>
        <w:pStyle w:val="ListBullet"/>
        <w:spacing w:after="40"/>
      </w:pPr>
      <w:r>
        <w:rPr>
          <w:rFonts w:ascii="Aptos" w:hAnsi="Aptos"/>
        </w:rPr>
        <w:t>Provide handover documentation and training.</w:t>
      </w:r>
    </w:p>
    <w:p>
      <w:pPr>
        <w:pStyle w:val="ListBullet"/>
        <w:spacing w:after="40"/>
      </w:pPr>
      <w:r>
        <w:rPr>
          <w:rFonts w:ascii="Aptos" w:hAnsi="Aptos"/>
        </w:rPr>
        <w:t>Remove or reduce supplier production access after acceptance as agreed.</w:t>
      </w:r>
    </w:p>
    <w:p>
      <w:pPr>
        <w:pStyle w:val="Heading1"/>
      </w:pPr>
      <w:r>
        <w:t>5. Client responsibilities</w:t>
      </w:r>
    </w:p>
    <w:p>
      <w:pPr>
        <w:pStyle w:val="ListBullet"/>
        <w:spacing w:after="40"/>
      </w:pPr>
      <w:r>
        <w:rPr>
          <w:rFonts w:ascii="Aptos" w:hAnsi="Aptos"/>
        </w:rPr>
        <w:t>Provide or procure the cloud/server environment and administrative access needed for deployment.</w:t>
      </w:r>
    </w:p>
    <w:p>
      <w:pPr>
        <w:pStyle w:val="ListBullet"/>
        <w:spacing w:after="40"/>
      </w:pPr>
      <w:r>
        <w:t>Own/control the sending domain, DNS, static sending IP and production server/network account.</w:t>
      </w:r>
    </w:p>
    <w:p>
      <w:pPr>
        <w:pStyle w:val="ListBullet"/>
        <w:spacing w:after="40"/>
      </w:pPr>
      <w:r>
        <w:rPr>
          <w:rFonts w:ascii="Aptos" w:hAnsi="Aptos"/>
        </w:rPr>
        <w:t>Provide production credentials through an agreed secure channel and rotate them after handover where appropriate.</w:t>
      </w:r>
    </w:p>
    <w:p>
      <w:pPr>
        <w:pStyle w:val="ListBullet"/>
        <w:spacing w:after="40"/>
      </w:pPr>
      <w:r>
        <w:rPr>
          <w:rFonts w:ascii="Aptos" w:hAnsi="Aptos"/>
        </w:rPr>
        <w:t>Provide lawful/authorized test data and production recipient data.</w:t>
      </w:r>
    </w:p>
    <w:p>
      <w:pPr>
        <w:pStyle w:val="ListBullet"/>
        <w:spacing w:after="40"/>
      </w:pPr>
      <w:r>
        <w:rPr>
          <w:rFonts w:ascii="Aptos" w:hAnsi="Aptos"/>
        </w:rPr>
        <w:t>Operate campaigns and monitor sending after handover.</w:t>
      </w:r>
    </w:p>
    <w:p>
      <w:pPr>
        <w:pStyle w:val="ListBullet"/>
        <w:spacing w:after="40"/>
      </w:pPr>
      <w:r>
        <w:t>Maintain backups, infrastructure/MTA patching, DNS, IP reputation and receiver/postmaster relationships after handover unless separately contracted.</w:t>
      </w:r>
    </w:p>
    <w:p>
      <w:pPr>
        <w:pStyle w:val="ListBullet"/>
        <w:spacing w:after="40"/>
      </w:pPr>
      <w:r>
        <w:t>Ensure its use of the software complies with applicable marketing, privacy, anti-spam, network and mailbox-provider requirements.</w:t>
      </w:r>
    </w:p>
    <w:p>
      <w:pPr>
        <w:pStyle w:val="Heading1"/>
      </w:pPr>
      <w:r>
        <w:t>6. Acceptance criteria</w:t>
      </w:r>
    </w:p>
    <w:p>
      <w:pPr>
        <w:pStyle w:val="ListNumber"/>
      </w:pPr>
      <w:r>
        <w:rPr>
          <w:rFonts w:ascii="Aptos" w:hAnsi="Aptos"/>
        </w:rPr>
        <w:t>Authorized users can log in and roles restrict privileged functions.</w:t>
      </w:r>
    </w:p>
    <w:p>
      <w:pPr>
        <w:pStyle w:val="ListNumber"/>
      </w:pPr>
      <w:r>
        <w:rPr>
          <w:rFonts w:ascii="Aptos" w:hAnsi="Aptos"/>
        </w:rPr>
        <w:t>Contacts can be imported from CSV with duplicate/invalid/suppressed outcomes reported.</w:t>
      </w:r>
    </w:p>
    <w:p>
      <w:pPr>
        <w:pStyle w:val="ListNumber"/>
      </w:pPr>
      <w:r>
        <w:rPr>
          <w:rFonts w:ascii="Aptos" w:hAnsi="Aptos"/>
        </w:rPr>
        <w:t>A campaign can be created, previewed, test-sent, scheduled and launched.</w:t>
      </w:r>
    </w:p>
    <w:p>
      <w:pPr>
        <w:pStyle w:val="ListNumber"/>
      </w:pPr>
      <w:r>
        <w:rPr>
          <w:rFonts w:ascii="Aptos" w:hAnsi="Aptos"/>
        </w:rPr>
        <w:t>Campaign recipient jobs are queued and processed asynchronously.</w:t>
      </w:r>
    </w:p>
    <w:p>
      <w:pPr>
        <w:pStyle w:val="ListNumber"/>
      </w:pPr>
      <w:r>
        <w:rPr>
          <w:rFonts w:ascii="Aptos" w:hAnsi="Aptos"/>
        </w:rPr>
        <w:t>Configured send-rate and daily quota limits are enforced.</w:t>
      </w:r>
    </w:p>
    <w:p>
      <w:pPr>
        <w:pStyle w:val="ListNumber"/>
      </w:pPr>
      <w:r>
        <w:rPr>
          <w:rFonts w:ascii="Aptos" w:hAnsi="Aptos"/>
        </w:rPr>
        <w:t>Unsubscribe, hard-bounce and complaint events suppress future marketing sends.</w:t>
      </w:r>
    </w:p>
    <w:p>
      <w:pPr>
        <w:pStyle w:val="ListNumber"/>
      </w:pPr>
      <w:r>
        <w:t>MTA delivery status/bounce events and available complaint feedback update delivery state and campaign reports.</w:t>
      </w:r>
    </w:p>
    <w:p>
      <w:pPr>
        <w:pStyle w:val="ListNumber"/>
      </w:pPr>
      <w:r>
        <w:t>Client sending-domain, PTR/rDNS, SPF, DKIM, DMARC, bounce-domain and MTA identity configuration is documented and verified in the deployed environment.</w:t>
      </w:r>
    </w:p>
    <w:p>
      <w:pPr>
        <w:pStyle w:val="ListNumber"/>
      </w:pPr>
      <w:r>
        <w:t>A controlled 20,000-recipient application/queue load test or agreed equivalent synthetic test passes; production direct-to-MX acceptance begins at a 2,000-email/day operating target and is increased only after deliverability validation.</w:t>
      </w:r>
    </w:p>
    <w:p>
      <w:pPr>
        <w:pStyle w:val="ListNumber"/>
      </w:pPr>
      <w:r>
        <w:rPr>
          <w:rFonts w:ascii="Aptos" w:hAnsi="Aptos"/>
        </w:rPr>
        <w:t>Handover package, admin access and agreed source/build artifacts are delivered and accepted.</w:t>
      </w:r>
    </w:p>
    <w:p>
      <w:pPr>
        <w:pStyle w:val="Heading1"/>
      </w:pPr>
      <w:r>
        <w:t>7. Change requests</w:t>
      </w:r>
    </w:p>
    <w:p>
      <w:r>
        <w:t>Features or integrations not explicitly included above are treated as change requests. Each change should state the requested outcome, implementation impact, commercial impact and revised acceptance criteria before work begins.</w:t>
      </w:r>
    </w:p>
    <w:p>
      <w:pPr>
        <w:pStyle w:val="Heading1"/>
      </w:pPr>
      <w:r>
        <w:t>8. Commercial and cost boundary</w:t>
      </w:r>
    </w:p>
    <w:p>
      <w:r>
        <w:t>Project pricing and cost ownership are detailed in DOC-09, Project Cost Estimate &amp; Budget Model. The final project fee is stated in the approved commercial proposal.</w:t>
      </w:r>
    </w:p>
    <w:p>
      <w:pPr>
        <w:pStyle w:val="ListBullet"/>
      </w:pPr>
      <w:r>
        <w:t>Client-owned hosting, domain/DNS, static sending IP, backups/monitoring and any optional contingency SMTP relay are paid directly by the client unless the signed proposal states otherwise. Third-party prices must be reconfirmed before signature.</w:t>
      </w:r>
    </w:p>
    <w:p>
      <w:pPr>
        <w:pStyle w:val="ListBullet"/>
      </w:pPr>
      <w:r>
        <w:t>Post-handover support and any feature/integration outside this SOW require a separate support scope or approved change request.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60"/>
      <w:gridCol w:w="3360"/>
      <w:gridCol w:w="3360"/>
    </w:tblGrid>
    <w:tr>
      <w:tc>
        <w:tcPr>
          <w:tcW w:type="dxa" w:w="3360"/>
        </w:tcPr>
        <w:p>
          <w:pPr>
            <w:jc w:val="left"/>
          </w:pPr>
          <w:r>
            <w:rPr>
              <w:rFonts w:ascii="Aptos" w:hAnsi="Aptos"/>
              <w:color w:val="666666"/>
              <w:sz w:val="16"/>
            </w:rPr>
            <w:t>Project Documentation</w:t>
          </w:r>
        </w:p>
      </w:tc>
      <w:tc>
        <w:tcPr>
          <w:tcW w:type="dxa" w:w="3360"/>
        </w:tcPr>
        <w:p>
          <w:pPr>
            <w:jc w:val="center"/>
          </w:pPr>
          <w:r>
            <w:rPr>
              <w:rFonts w:ascii="Aptos" w:hAnsi="Aptos"/>
              <w:color w:val="666666"/>
              <w:sz w:val="16"/>
            </w:rPr>
            <w:t>v0.3</w:t>
          </w:r>
        </w:p>
      </w:tc>
      <w:tc>
        <w:tcPr>
          <w:tcW w:type="dxa" w:w="3360"/>
        </w:tcPr>
        <w:p>
          <w:pPr>
            <w:jc w:val="right"/>
          </w:pPr>
          <w:r>
            <w:rPr>
              <w:rFonts w:ascii="Aptos" w:hAnsi="Aptos"/>
              <w:color w:val="666666"/>
              <w:sz w:val="16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</w:tcPr>
        <w:p>
          <w:pPr>
            <w:jc w:val="left"/>
          </w:pPr>
          <w:r>
            <w:rPr>
              <w:rFonts w:ascii="Aptos" w:hAnsi="Aptos"/>
              <w:b/>
              <w:color w:val="17365D"/>
              <w:sz w:val="17"/>
            </w:rPr>
            <w:t>Email Marketing Platform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rFonts w:ascii="Aptos" w:hAnsi="Aptos"/>
              <w:color w:val="666666"/>
              <w:sz w:val="16"/>
            </w:rPr>
            <w:t>DOC-02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