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2"/>
        </w:rPr>
        <w:t>Technical Architecture &amp; Requirements</w:t>
      </w:r>
    </w:p>
    <w:p>
      <w:pPr>
        <w:jc w:val="center"/>
      </w:pPr>
      <w:r>
        <w:rPr>
          <w:rFonts w:ascii="Aptos" w:hAnsi="Aptos"/>
          <w:color w:val="2F5597"/>
          <w:sz w:val="26"/>
        </w:rPr>
        <w:t>Self-Hosted Campaign Management &amp; Bulk Email Software</w:t>
      </w:r>
    </w:p>
    <w:p>
      <w:pPr>
        <w:spacing w:before="560"/>
        <w:jc w:val="center"/>
      </w:pPr>
      <w:r>
        <w:rPr>
          <w:rFonts w:ascii="Aptos" w:hAnsi="Aptos"/>
          <w:color w:val="666666"/>
          <w:sz w:val="20"/>
        </w:rPr>
        <w:t>Document code: DOC-05</w:t>
        <w:br/>
        <w:t>Version: 0.3</w:t>
        <w:br/>
        <w:t>Date: 20 September 2026</w:t>
      </w:r>
    </w:p>
    <w:p>
      <w:pPr>
        <w:spacing w:before="500"/>
        <w:jc w:val="center"/>
      </w:pPr>
      <w:r>
        <w:rPr>
          <w:rFonts w:ascii="Aptos" w:hAnsi="Aptos"/>
          <w:i/>
          <w:color w:val="666666"/>
          <w:sz w:val="18"/>
        </w:rPr>
        <w:t>Working title - replace with final product/client name during branding.</w:t>
      </w:r>
    </w:p>
    <w:p>
      <w:r>
        <w:br w:type="page"/>
      </w:r>
    </w:p>
    <w:p>
      <w:pPr>
        <w:pStyle w:val="Heading1"/>
      </w:pPr>
      <w:r>
        <w:t>1.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3168"/>
        <w:gridCol w:w="4896"/>
      </w:tblGrid>
      <w:tr>
        <w:trPr>
          <w:tblHeader w:val="true"/>
        </w:trPr>
        <w:tc>
          <w:tcPr>
            <w:tcW w:type="dxa" w:w="33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3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Web UI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Next.js + React + TypeScript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Dashboard, campaign authoring and administration.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API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Node.js/TypeScript (Next API or NestJS)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Business rules and integration endpoints.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Database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PostgreSQL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Contacts, campaigns, events, settings and audit data.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Queue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Redis + BullMQ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Campaign preparation, send jobs, retries and background processing.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Email rendering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MJML + templating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Responsive HTML and personalization.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Outbound MTA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Postfix + DKIM signer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Direct-to-MX delivery, retries, remote SMTP handling and bounce routing.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Proxy/TLS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Caddy or Nginx + Let’s Encrypt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HTTPS termination and routing.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Packaging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Docker + Docker Compose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Repeatable deployment and service isolation.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Monitoring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Structured logs; optional Prometheus/Grafana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Application health, queue depth, Postfix queue/deferrals, bounce/complaint rates and operational visibility.</w:t>
            </w:r>
          </w:p>
        </w:tc>
      </w:tr>
    </w:tbl>
    <w:p>
      <w:pPr>
        <w:pStyle w:val="Heading1"/>
      </w:pPr>
      <w:r>
        <w:t>2. Logical architecture</w:t>
      </w:r>
    </w:p>
    <w:p>
      <w:pPr>
        <w:pStyle w:val="Heading2"/>
      </w:pPr>
      <w:r>
        <w:t>System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Browser / Admin Users</w:t>
              <w:br/>
              <w:t xml:space="preserve">        | HTTPS</w:t>
              <w:br/>
              <w:t xml:space="preserve">        v</w:t>
              <w:br/>
              <w:t>Web UI + API  --------------------&gt; PostgreSQL</w:t>
              <w:br/>
              <w:t xml:space="preserve">        |                                ^</w:t>
              <w:br/>
              <w:t xml:space="preserve">        | enqueue                        | state/events</w:t>
              <w:br/>
              <w:t xml:space="preserve">        v                                |</w:t>
              <w:br/>
              <w:t xml:space="preserve"> Redis / BullMQ ---&gt; Email Workers ---&gt; Local SMTP Submission</w:t>
              <w:br/>
              <w:t xml:space="preserve">                                      |</w:t>
              <w:br/>
              <w:t xml:space="preserve">                                      v</w:t>
              <w:br/>
              <w:t xml:space="preserve">                                Postfix Outbound MTA</w:t>
              <w:br/>
              <w:t xml:space="preserve">                                      | direct-to-MX</w:t>
              <w:br/>
              <w:t xml:space="preserve">                                      v</w:t>
              <w:br/>
              <w:t xml:space="preserve">                              Recipient MX Servers</w:t>
              <w:br/>
              <w:t xml:space="preserve">                                      |</w:t>
              <w:br/>
              <w:t xml:space="preserve">                           DSN / Bounce / FBL feedback</w:t>
              <w:br/>
              <w:t xml:space="preserve">                                      |</w:t>
              <w:br/>
              <w:t xml:space="preserve">                                      +----&gt; Feedback Processor -&gt; Queue -&gt; PostgreSQL</w:t>
            </w:r>
          </w:p>
        </w:tc>
      </w:tr>
    </w:tbl>
    <w:p>
      <w:pPr>
        <w:pStyle w:val="Heading1"/>
      </w:pPr>
      <w:r>
        <w:t>3.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tblHeader w:val="true"/>
        </w:trPr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Key fields / notes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users / roles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Authentication identity, status, role/permissions.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contacts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Email, names, status, tags/custom data, subscription metadata.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lists / list_contacts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Named audiences and contact memberships.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campaigns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Sender, subject, content/template, audience, schedule, status.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campaign_recipients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Campaign snapshot per recipient; MTA queue/message ID, attempts and timestamps.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templates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Reusable email content and metadata.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sending_transports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MTA identity, approved limits, optional fallback relay settings and encrypted secrets where needed.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sending_domains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Domain/subdomain, verification state and DNS requirements.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email_events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Normalized sent/delivered/bounce/complaint/open/click events.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suppressions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Email, reason, source and timestamp; consulted before every send.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delivery_feedback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Raw/normalized DSN, ARF/FBL or external feedback identifiers for idempotency and audit.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audit_logs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Actor, action, object, timestamp and relevant metadata.</w:t>
            </w:r>
          </w:p>
        </w:tc>
      </w:tr>
    </w:tbl>
    <w:p>
      <w:pPr>
        <w:pStyle w:val="Heading1"/>
      </w:pPr>
      <w:r>
        <w:t>4. Queue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 w:val="true"/>
        </w:trPr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Queue</w:t>
            </w:r>
          </w:p>
        </w:tc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campaign-prepare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Resolve eligible recipients and create campaign-recipient snapshots.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email-send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Render message and submit to local authenticated/loopback SMTP service; record MTA queue/message identifier.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email-retry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Retry transient errors using bounded backoff.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delivery-feedback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Parse/normalize DSNs, bounces and available complaint feedback; update suppression and reporting.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csv-import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Process large audience files away from request threads.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analytics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Aggregate campaign/reporting counters.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maintenance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Cleanup expired tokens/logs according to retention policy.</w:t>
            </w:r>
          </w:p>
        </w:tc>
      </w:tr>
    </w:tbl>
    <w:p>
      <w:pPr>
        <w:pStyle w:val="Heading1"/>
      </w:pPr>
      <w:r>
        <w:t>5. Sending controls</w:t>
      </w:r>
    </w:p>
    <w:p>
      <w:pPr>
        <w:pStyle w:val="ListBullet"/>
        <w:spacing w:after="40"/>
      </w:pPr>
      <w:r>
        <w:rPr>
          <w:rFonts w:ascii="Aptos" w:hAnsi="Aptos"/>
        </w:rPr>
        <w:t>Configurable messages/second, messages/hour and messages/day.</w:t>
      </w:r>
    </w:p>
    <w:p>
      <w:pPr>
        <w:pStyle w:val="ListBullet"/>
        <w:spacing w:after="40"/>
      </w:pPr>
      <w:r>
        <w:t>Application worker concurrency is configurable independently from MTA transport concurrency and destination-specific throttles.</w:t>
      </w:r>
    </w:p>
    <w:p>
      <w:pPr>
        <w:pStyle w:val="ListBullet"/>
        <w:spacing w:after="40"/>
      </w:pPr>
      <w:r>
        <w:rPr>
          <w:rFonts w:ascii="Aptos" w:hAnsi="Aptos"/>
        </w:rPr>
        <w:t>Suppression checked when recipients are prepared and again immediately before send.</w:t>
      </w:r>
    </w:p>
    <w:p>
      <w:pPr>
        <w:pStyle w:val="ListBullet"/>
        <w:spacing w:after="40"/>
      </w:pPr>
      <w:r>
        <w:rPr>
          <w:rFonts w:ascii="Aptos" w:hAnsi="Aptos"/>
        </w:rPr>
        <w:t>Idempotency key prevents duplicate sends when jobs retry or workers restart.</w:t>
      </w:r>
    </w:p>
    <w:p>
      <w:pPr>
        <w:pStyle w:val="ListBullet"/>
        <w:spacing w:after="40"/>
      </w:pPr>
      <w:r>
        <w:rPr>
          <w:rFonts w:ascii="Aptos" w:hAnsi="Aptos"/>
        </w:rPr>
        <w:t>Permanent delivery failures are not retried; transient failures use bounded retries.</w:t>
      </w:r>
    </w:p>
    <w:p>
      <w:pPr>
        <w:pStyle w:val="ListBullet"/>
        <w:spacing w:after="40"/>
      </w:pPr>
      <w:r>
        <w:rPr>
          <w:rFonts w:ascii="Aptos" w:hAnsi="Aptos"/>
        </w:rPr>
        <w:t>Campaign pause/cancel state is checked by workers before executing pending jobs.</w:t>
      </w:r>
    </w:p>
    <w:p>
      <w:pPr>
        <w:pStyle w:val="Heading1"/>
      </w:pPr>
      <w:r>
        <w:t>6. Security requirements</w:t>
      </w:r>
    </w:p>
    <w:p>
      <w:pPr>
        <w:pStyle w:val="ListBullet"/>
        <w:spacing w:after="40"/>
      </w:pPr>
      <w:r>
        <w:rPr>
          <w:rFonts w:ascii="Aptos" w:hAnsi="Aptos"/>
        </w:rPr>
        <w:t>HTTPS in production; secure cookies/session handling; strong password hashing.</w:t>
      </w:r>
    </w:p>
    <w:p>
      <w:pPr>
        <w:pStyle w:val="ListBullet"/>
        <w:spacing w:after="40"/>
      </w:pPr>
      <w:r>
        <w:rPr>
          <w:rFonts w:ascii="Aptos" w:hAnsi="Aptos"/>
        </w:rPr>
        <w:t>Role-based authorization on all privileged API operations.</w:t>
      </w:r>
    </w:p>
    <w:p>
      <w:pPr>
        <w:pStyle w:val="ListBullet"/>
        <w:spacing w:after="40"/>
      </w:pPr>
      <w:r>
        <w:t>Credentials and secrets are stored outside source code; DKIM private keys and optional relay credentials are protected with least-privilege file permissions/encryption as appropriate.</w:t>
      </w:r>
    </w:p>
    <w:p>
      <w:pPr>
        <w:pStyle w:val="ListBullet"/>
        <w:spacing w:after="40"/>
      </w:pPr>
      <w:r>
        <w:t>Bounce/DSN and feedback inputs are accepted only through controlled routes and parsed defensively; optional external feedback webhooks require authentication/signature validation.</w:t>
      </w:r>
    </w:p>
    <w:p>
      <w:pPr>
        <w:pStyle w:val="ListBullet"/>
        <w:spacing w:after="40"/>
      </w:pPr>
      <w:r>
        <w:rPr>
          <w:rFonts w:ascii="Aptos" w:hAnsi="Aptos"/>
        </w:rPr>
        <w:t>Secure, non-guessable unsubscribe tokens that do not expose raw internal identifiers unnecessarily.</w:t>
      </w:r>
    </w:p>
    <w:p>
      <w:pPr>
        <w:pStyle w:val="ListBullet"/>
        <w:spacing w:after="40"/>
      </w:pPr>
      <w:r>
        <w:rPr>
          <w:rFonts w:ascii="Aptos" w:hAnsi="Aptos"/>
        </w:rPr>
        <w:t>Input validation, parameterized database access/ORM protections, CSRF controls where applicable and rate limiting.</w:t>
      </w:r>
    </w:p>
    <w:p>
      <w:pPr>
        <w:pStyle w:val="ListBullet"/>
        <w:spacing w:after="40"/>
      </w:pPr>
      <w:r>
        <w:rPr>
          <w:rFonts w:ascii="Aptos" w:hAnsi="Aptos"/>
        </w:rPr>
        <w:t>Audit records for campaign launch, imports, suppression changes and privileged configuration.</w:t>
      </w:r>
    </w:p>
    <w:p>
      <w:pPr>
        <w:pStyle w:val="ListBullet"/>
        <w:spacing w:after="40"/>
      </w:pPr>
      <w:r>
        <w:rPr>
          <w:rFonts w:ascii="Aptos" w:hAnsi="Aptos"/>
        </w:rPr>
        <w:t>Database backups and documented restore procedure tested before handover.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Capacity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Initial production operating target: 2,000 direct-to-MX marketing emails/day. Application/queue layer should sustain a controlled 20,000-recipient synthetic load; higher live sending volumes require reputation and transport validation.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Reliability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Worker restart must not cause duplicate sends; jobs must be recoverable after transient failures.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Interactive pages should not wait for imports or sending jobs to finish.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Observability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Expose application health, queue depth, recent failures and structured logs.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Portability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Run via documented Docker deployment without supplier-owned infrastructure dependencies.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6"/>
              </w:rPr>
              <w:t>Maintainability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MTA submission and feedback processing isolated behind interfaces; optional relay transport remains pluggable; database migrations versioned.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Data protection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Least-privilege access and documented retention/export/deletion procedures appropriate to client policy.</w:t>
            </w:r>
          </w:p>
        </w:tc>
      </w:tr>
    </w:tbl>
    <w:p>
      <w:pPr>
        <w:pStyle w:val="Heading1"/>
      </w:pPr>
      <w:r>
        <w:t>8. Outbound MTA and direct-to-MX requirements</w:t>
      </w:r>
    </w:p>
    <w:p>
      <w:pPr>
        <w:pStyle w:val="ListBullet"/>
      </w:pPr>
      <w:r>
        <w:t>Postfix is the reference MTA for the MVP. Application workers submit fully rendered messages only to a loopback/private submission listener; the MTA must not be an open relay.</w:t>
      </w:r>
    </w:p>
    <w:p>
      <w:pPr>
        <w:pStyle w:val="ListBullet"/>
      </w:pPr>
      <w:r>
        <w:t>Each production sending identity requires a stable hostname and static public IP. The deployment prerequisite includes working outbound TCP port 25 and the ability to set PTR/rDNS. Hosting-provider restrictions must be confirmed before production launch.</w:t>
      </w:r>
    </w:p>
    <w:p>
      <w:pPr>
        <w:pStyle w:val="ListBullet"/>
      </w:pPr>
      <w:r>
        <w:t>The EHLO/HELO hostname, forward A/AAAA records and PTR/rDNS must be consistent. IPv6 sending should remain disabled until forward/reverse DNS and reputation are intentionally managed.</w:t>
      </w:r>
    </w:p>
    <w:p>
      <w:pPr>
        <w:pStyle w:val="ListBullet"/>
      </w:pPr>
      <w:r>
        <w:t>Messages are DKIM-signed with a client-controlled 2048-bit key. SPF authorizes the sending IP, and DMARC alignment uses the client-controlled From domain. DMARC policy can begin in monitoring mode and be tightened after validation.</w:t>
      </w:r>
    </w:p>
    <w:p>
      <w:pPr>
        <w:pStyle w:val="ListBullet"/>
      </w:pPr>
      <w:r>
        <w:t>Use a dedicated bounce/return-path subdomain and recipient-specific VERP or equivalent opaque correlation token. DSNs are parsed into transient/permanent outcomes; hard failures suppress future marketing sends.</w:t>
      </w:r>
    </w:p>
    <w:p>
      <w:pPr>
        <w:pStyle w:val="ListBullet"/>
      </w:pPr>
      <w:r>
        <w:t>Postfix owns SMTP delivery retries and remote-MX backoff. BullMQ must not independently resend a message after Postfix has accepted it; application idempotency ends at successful MTA submission.</w:t>
      </w:r>
    </w:p>
    <w:p>
      <w:pPr>
        <w:pStyle w:val="ListBullet"/>
      </w:pPr>
      <w:r>
        <w:t>Rate controls are destination-aware. The system must support global messages/second, daily caps and per-domain concurrency/backoff so repeated 4xx responses do not cause aggressive retry behavior.</w:t>
      </w:r>
    </w:p>
    <w:p>
      <w:pPr>
        <w:pStyle w:val="ListBullet"/>
      </w:pPr>
      <w:r>
        <w:t>Complaint feedback is ingested from ARF/FBL sources where available. Lack of a complaint feed from a mailbox provider must not be interpreted as zero complaints.</w:t>
      </w:r>
    </w:p>
    <w:p>
      <w:pPr>
        <w:pStyle w:val="ListBullet"/>
      </w:pPr>
      <w:r>
        <w:t>Every marketing message includes a visible unsubscribe mechanism plus List-Unsubscribe and List-Unsubscribe-Post headers when one-click unsubscribe is supported by the message flow.</w:t>
      </w:r>
    </w:p>
    <w:p>
      <w:pPr>
        <w:pStyle w:val="ListBullet"/>
      </w:pPr>
      <w:r>
        <w:t>MTA metrics include queue size/age, deferred destinations, SMTP status-code families, bounce rate, complaint rate, accepted/submitted counts and oldest queued message.</w:t>
      </w:r>
    </w:p>
    <w:p>
      <w:pPr>
        <w:pStyle w:val="Heading1"/>
      </w:pPr>
      <w:r>
        <w:t>9. Initial single-server deployment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Initial allocation / policy</w:t>
            </w:r>
          </w:p>
        </w:tc>
        <w:tc>
          <w:tcPr>
            <w:tcW w:type="dxa" w:w="3360"/>
          </w:tcPr>
          <w:p>
            <w:r>
              <w:t>Notes</w:t>
            </w:r>
          </w:p>
        </w:tc>
      </w:tr>
      <w:tr>
        <w:tc>
          <w:tcPr>
            <w:tcW w:type="dxa" w:w="3360"/>
          </w:tcPr>
          <w:p>
            <w:r>
              <w:t>Hetzner VPS</w:t>
            </w:r>
          </w:p>
        </w:tc>
        <w:tc>
          <w:tcPr>
            <w:tcW w:type="dxa" w:w="3360"/>
          </w:tcPr>
          <w:p>
            <w:r>
              <w:t>2 AMD vCPU / 8 GB RAM / 80 GB SSD</w:t>
            </w:r>
          </w:p>
        </w:tc>
        <w:tc>
          <w:tcPr>
            <w:tcW w:type="dxa" w:w="3360"/>
          </w:tcPr>
          <w:p>
            <w:r>
              <w:t>Sufficient compute for ~2,000/day; monitor disk because PostgreSQL logs and MTA queues share the host.</w:t>
            </w:r>
          </w:p>
        </w:tc>
      </w:tr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Next.js/Node.js + workers</w:t>
            </w:r>
          </w:p>
        </w:tc>
        <w:tc>
          <w:tcPr>
            <w:tcW w:type="dxa" w:w="3360"/>
          </w:tcPr>
          <w:p>
            <w:r>
              <w:t>Start with low worker concurrency; application workers submit to localhost SMTP.</w:t>
            </w:r>
          </w:p>
        </w:tc>
      </w:tr>
      <w:tr>
        <w:tc>
          <w:tcPr>
            <w:tcW w:type="dxa" w:w="3360"/>
          </w:tcPr>
          <w:p>
            <w:r>
              <w:t>Database/queue</w:t>
            </w:r>
          </w:p>
        </w:tc>
        <w:tc>
          <w:tcPr>
            <w:tcW w:type="dxa" w:w="3360"/>
          </w:tcPr>
          <w:p>
            <w:r>
              <w:t>PostgreSQL + Redis/BullMQ</w:t>
            </w:r>
          </w:p>
        </w:tc>
        <w:tc>
          <w:tcPr>
            <w:tcW w:type="dxa" w:w="3360"/>
          </w:tcPr>
          <w:p>
            <w:r>
              <w:t>Use bounded Redis memory and PostgreSQL backup/retention policies.</w:t>
            </w:r>
          </w:p>
        </w:tc>
      </w:tr>
      <w:tr>
        <w:tc>
          <w:tcPr>
            <w:tcW w:type="dxa" w:w="3360"/>
          </w:tcPr>
          <w:p>
            <w:r>
              <w:t>MTA</w:t>
            </w:r>
          </w:p>
        </w:tc>
        <w:tc>
          <w:tcPr>
            <w:tcW w:type="dxa" w:w="3360"/>
          </w:tcPr>
          <w:p>
            <w:r>
              <w:t>Postfix + DKIM signer</w:t>
            </w:r>
          </w:p>
        </w:tc>
        <w:tc>
          <w:tcPr>
            <w:tcW w:type="dxa" w:w="3360"/>
          </w:tcPr>
          <w:p>
            <w:r>
              <w:t>Dedicated queue; outbound port 25 required. Bind submission to localhost/private network only.</w:t>
            </w:r>
          </w:p>
        </w:tc>
      </w:tr>
      <w:tr>
        <w:tc>
          <w:tcPr>
            <w:tcW w:type="dxa" w:w="3360"/>
          </w:tcPr>
          <w:p>
            <w:r>
              <w:t>Sending rate</w:t>
            </w:r>
          </w:p>
        </w:tc>
        <w:tc>
          <w:tcPr>
            <w:tcW w:type="dxa" w:w="3360"/>
          </w:tcPr>
          <w:p>
            <w:r>
              <w:t>Conservative, configurable</w:t>
            </w:r>
          </w:p>
        </w:tc>
        <w:tc>
          <w:tcPr>
            <w:tcW w:type="dxa" w:w="3360"/>
          </w:tcPr>
          <w:p>
            <w:r>
              <w:t>Fresh IP/domain must be warmed based on receiver responses and reputation; 2,000/day is an operating ceiling, not a mandatory starting rate.</w:t>
            </w:r>
          </w:p>
        </w:tc>
      </w:tr>
      <w:tr>
        <w:tc>
          <w:tcPr>
            <w:tcW w:type="dxa" w:w="3360"/>
          </w:tcPr>
          <w:p>
            <w:r>
              <w:t>Backups</w:t>
            </w:r>
          </w:p>
        </w:tc>
        <w:tc>
          <w:tcPr>
            <w:tcW w:type="dxa" w:w="3360"/>
          </w:tcPr>
          <w:p>
            <w:r>
              <w:t>Off-server database/config backup</w:t>
            </w:r>
          </w:p>
        </w:tc>
        <w:tc>
          <w:tcPr>
            <w:tcW w:type="dxa" w:w="3360"/>
          </w:tcPr>
          <w:p>
            <w:r>
              <w:t>Do not treat the VPS disk or provider snapshot as the only backup.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6"/>
            </w:rPr>
            <w:t>Project Documentation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6"/>
            </w:rPr>
            <w:t>v0.3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pPr>
            <w:jc w:val="left"/>
          </w:pPr>
          <w:r>
            <w:rPr>
              <w:rFonts w:ascii="Aptos" w:hAnsi="Aptos"/>
              <w:b/>
              <w:color w:val="17365D"/>
              <w:sz w:val="17"/>
            </w:rPr>
            <w:t>Email Marketing Platform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>DOC-05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