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Aptos Display" w:hAnsi="Aptos Display"/>
          <w:b/>
          <w:color w:val="17365D"/>
          <w:sz w:val="52"/>
        </w:rPr>
        <w:t>Deployment, Handover &amp; Acceptance Plan</w:t>
      </w:r>
    </w:p>
    <w:p>
      <w:pPr>
        <w:jc w:val="center"/>
      </w:pPr>
      <w:r>
        <w:rPr>
          <w:rFonts w:ascii="Aptos" w:hAnsi="Aptos"/>
          <w:color w:val="2F5597"/>
          <w:sz w:val="26"/>
        </w:rPr>
        <w:t>Self-Hosted Campaign Management &amp; Bulk Email Software</w:t>
      </w:r>
    </w:p>
    <w:p>
      <w:pPr>
        <w:spacing w:before="560"/>
        <w:jc w:val="center"/>
      </w:pPr>
      <w:r>
        <w:rPr>
          <w:rFonts w:ascii="Aptos" w:hAnsi="Aptos"/>
          <w:color w:val="666666"/>
          <w:sz w:val="20"/>
        </w:rPr>
        <w:t>Document code: DOC-06</w:t>
        <w:br/>
        <w:t>Version: 0.3</w:t>
        <w:br/>
        <w:t>Date: 20 September 2026</w:t>
      </w:r>
    </w:p>
    <w:p>
      <w:pPr>
        <w:spacing w:before="500"/>
        <w:jc w:val="center"/>
      </w:pPr>
      <w:r>
        <w:rPr>
          <w:rFonts w:ascii="Aptos" w:hAnsi="Aptos"/>
          <w:i/>
          <w:color w:val="666666"/>
          <w:sz w:val="18"/>
        </w:rPr>
        <w:t>Working title - replace with final product/client name during branding.</w:t>
      </w:r>
    </w:p>
    <w:p>
      <w:r>
        <w:br w:type="page"/>
      </w:r>
    </w:p>
    <w:p>
      <w:pPr>
        <w:pStyle w:val="Heading1"/>
      </w:pPr>
      <w:r>
        <w:t>1. Operating model</w:t>
      </w:r>
    </w:p>
    <w:p>
      <w:r>
        <w:t>Production infrastructure is owned or controlled by the client. The supplier’s responsibility is to deploy and validate the agreed software, transfer documentation and access, and complete acceptance. The client then operates the system unless a separate support agreement applies.</w:t>
      </w:r>
    </w:p>
    <w:p>
      <w:pPr>
        <w:pStyle w:val="Heading1"/>
      </w:pPr>
      <w:r>
        <w:t>2. Client-provided production prerequisites</w:t>
      </w:r>
    </w:p>
    <w:p>
      <w:pPr>
        <w:pStyle w:val="ListBullet"/>
        <w:spacing w:after="40"/>
      </w:pPr>
      <w:r>
        <w:rPr>
          <w:rFonts w:ascii="Aptos" w:hAnsi="Aptos"/>
        </w:rPr>
        <w:t>Cloud/VPS/server account with sufficient compute, storage and network access.</w:t>
      </w:r>
    </w:p>
    <w:p>
      <w:pPr>
        <w:pStyle w:val="ListBullet"/>
        <w:spacing w:after="40"/>
      </w:pPr>
      <w:r>
        <w:rPr>
          <w:rFonts w:ascii="Aptos" w:hAnsi="Aptos"/>
        </w:rPr>
        <w:t>Domain or subdomain under client control and permission to manage DNS records.</w:t>
      </w:r>
    </w:p>
    <w:p>
      <w:pPr>
        <w:pStyle w:val="ListBullet"/>
        <w:spacing w:after="40"/>
      </w:pPr>
      <w:r>
        <w:t>Static public sending IP, outbound TCP/25 capability approved by the hosting/network provider, and PTR/rDNS control.</w:t>
      </w:r>
    </w:p>
    <w:p>
      <w:pPr>
        <w:pStyle w:val="ListBullet"/>
        <w:spacing w:after="40"/>
      </w:pPr>
      <w:r>
        <w:rPr>
          <w:rFonts w:ascii="Aptos" w:hAnsi="Aptos"/>
        </w:rPr>
        <w:t>TLS/DNS access as required for application host and sending-domain authentication.</w:t>
      </w:r>
    </w:p>
    <w:p>
      <w:pPr>
        <w:pStyle w:val="ListBullet"/>
        <w:spacing w:after="40"/>
      </w:pPr>
      <w:r>
        <w:rPr>
          <w:rFonts w:ascii="Aptos" w:hAnsi="Aptos"/>
        </w:rPr>
        <w:t>Named client administrator for final ownership and credential rotation.</w:t>
      </w:r>
    </w:p>
    <w:p>
      <w:pPr>
        <w:pStyle w:val="ListBullet"/>
        <w:spacing w:after="40"/>
      </w:pPr>
      <w:r>
        <w:rPr>
          <w:rFonts w:ascii="Aptos" w:hAnsi="Aptos"/>
        </w:rPr>
        <w:t>Backup destination and retention requirements.</w:t>
      </w:r>
    </w:p>
    <w:p>
      <w:pPr>
        <w:pStyle w:val="Heading1"/>
      </w:pPr>
      <w:r>
        <w:t>3. Deployment checklist</w:t>
      </w:r>
    </w:p>
    <w:tbl>
      <w:tblPr>
        <w:tblStyle w:val="TableGrid"/>
        <w:tblW w:type="auto" w:w="0"/>
        <w:jc w:val="center"/>
        <w:tblLook w:firstColumn="1" w:firstRow="1" w:lastColumn="0" w:lastRow="0" w:noHBand="0" w:noVBand="1" w:val="04A0"/>
      </w:tblPr>
      <w:tblGrid>
        <w:gridCol w:w="576"/>
        <w:gridCol w:w="4320"/>
        <w:gridCol w:w="2160"/>
        <w:gridCol w:w="3024"/>
      </w:tblGrid>
      <w:tr>
        <w:trPr>
          <w:tblHeader w:val="true"/>
        </w:trPr>
        <w:tc>
          <w:tcPr>
            <w:tcW w:type="dxa" w:w="2520"/>
            <w:shd w:fill="17365D"/>
            <w:tcMar>
              <w:top w:w="80" w:type="dxa"/>
              <w:start w:w="100" w:type="dxa"/>
              <w:bottom w:w="80" w:type="dxa"/>
              <w:end w:w="100" w:type="dxa"/>
            </w:tcMar>
          </w:tcPr>
          <w:p>
            <w:r>
              <w:rPr>
                <w:rFonts w:ascii="Aptos" w:hAnsi="Aptos"/>
                <w:b/>
                <w:color w:val="FFFFFF"/>
                <w:sz w:val="16"/>
              </w:rPr>
              <w:t>#</w:t>
            </w:r>
          </w:p>
        </w:tc>
        <w:tc>
          <w:tcPr>
            <w:tcW w:type="dxa" w:w="2520"/>
            <w:shd w:fill="17365D"/>
            <w:tcMar>
              <w:top w:w="80" w:type="dxa"/>
              <w:start w:w="100" w:type="dxa"/>
              <w:bottom w:w="80" w:type="dxa"/>
              <w:end w:w="100" w:type="dxa"/>
            </w:tcMar>
          </w:tcPr>
          <w:p>
            <w:r>
              <w:rPr>
                <w:rFonts w:ascii="Aptos" w:hAnsi="Aptos"/>
                <w:b/>
                <w:color w:val="FFFFFF"/>
                <w:sz w:val="16"/>
              </w:rPr>
              <w:t>Check</w:t>
            </w:r>
          </w:p>
        </w:tc>
        <w:tc>
          <w:tcPr>
            <w:tcW w:type="dxa" w:w="2520"/>
            <w:shd w:fill="17365D"/>
            <w:tcMar>
              <w:top w:w="80" w:type="dxa"/>
              <w:start w:w="100" w:type="dxa"/>
              <w:bottom w:w="80" w:type="dxa"/>
              <w:end w:w="100" w:type="dxa"/>
            </w:tcMar>
          </w:tcPr>
          <w:p>
            <w:r>
              <w:rPr>
                <w:rFonts w:ascii="Aptos" w:hAnsi="Aptos"/>
                <w:b/>
                <w:color w:val="FFFFFF"/>
                <w:sz w:val="16"/>
              </w:rPr>
              <w:t>Owner</w:t>
            </w:r>
          </w:p>
        </w:tc>
        <w:tc>
          <w:tcPr>
            <w:tcW w:type="dxa" w:w="2520"/>
            <w:shd w:fill="17365D"/>
            <w:tcMar>
              <w:top w:w="80" w:type="dxa"/>
              <w:start w:w="100" w:type="dxa"/>
              <w:bottom w:w="80" w:type="dxa"/>
              <w:end w:w="100" w:type="dxa"/>
            </w:tcMar>
          </w:tcPr>
          <w:p>
            <w:r>
              <w:rPr>
                <w:rFonts w:ascii="Aptos" w:hAnsi="Aptos"/>
                <w:b/>
                <w:color w:val="FFFFFF"/>
                <w:sz w:val="16"/>
              </w:rPr>
              <w:t>Evidence</w:t>
            </w:r>
          </w:p>
        </w:tc>
      </w:tr>
      <w:tr>
        <w:tc>
          <w:tcPr>
            <w:tcW w:type="dxa" w:w="576"/>
            <w:tcMar>
              <w:top w:w="80" w:type="dxa"/>
              <w:start w:w="100" w:type="dxa"/>
              <w:bottom w:w="80" w:type="dxa"/>
              <w:end w:w="100" w:type="dxa"/>
            </w:tcMar>
            <w:vAlign w:val="top"/>
          </w:tcPr>
          <w:p>
            <w:r>
              <w:rPr>
                <w:rFonts w:ascii="Aptos" w:hAnsi="Aptos"/>
                <w:sz w:val="16"/>
              </w:rPr>
              <w:t>1</w:t>
            </w:r>
          </w:p>
        </w:tc>
        <w:tc>
          <w:tcPr>
            <w:tcW w:type="dxa" w:w="4320"/>
            <w:tcMar>
              <w:top w:w="80" w:type="dxa"/>
              <w:start w:w="100" w:type="dxa"/>
              <w:bottom w:w="80" w:type="dxa"/>
              <w:end w:w="100" w:type="dxa"/>
            </w:tcMar>
            <w:vAlign w:val="top"/>
          </w:tcPr>
          <w:p>
            <w:r>
              <w:rPr>
                <w:rFonts w:ascii="Aptos" w:hAnsi="Aptos"/>
                <w:sz w:val="16"/>
              </w:rPr>
              <w:t>Provision production host/network</w:t>
            </w:r>
          </w:p>
        </w:tc>
        <w:tc>
          <w:tcPr>
            <w:tcW w:type="dxa" w:w="2160"/>
            <w:tcMar>
              <w:top w:w="80" w:type="dxa"/>
              <w:start w:w="100" w:type="dxa"/>
              <w:bottom w:w="80" w:type="dxa"/>
              <w:end w:w="100" w:type="dxa"/>
            </w:tcMar>
            <w:vAlign w:val="top"/>
          </w:tcPr>
          <w:p>
            <w:r>
              <w:rPr>
                <w:rFonts w:ascii="Aptos" w:hAnsi="Aptos"/>
                <w:sz w:val="16"/>
              </w:rPr>
              <w:t>Client</w:t>
            </w:r>
          </w:p>
        </w:tc>
        <w:tc>
          <w:tcPr>
            <w:tcW w:type="dxa" w:w="3024"/>
            <w:tcMar>
              <w:top w:w="80" w:type="dxa"/>
              <w:start w:w="100" w:type="dxa"/>
              <w:bottom w:w="80" w:type="dxa"/>
              <w:end w:w="100" w:type="dxa"/>
            </w:tcMar>
            <w:vAlign w:val="top"/>
          </w:tcPr>
          <w:p>
            <w:r>
              <w:rPr>
                <w:rFonts w:ascii="Aptos" w:hAnsi="Aptos"/>
                <w:sz w:val="16"/>
              </w:rPr>
              <w:t>Host/network accessible</w:t>
            </w:r>
          </w:p>
        </w:tc>
      </w:tr>
      <w:tr>
        <w:tc>
          <w:tcPr>
            <w:tcW w:type="dxa" w:w="576"/>
            <w:tcMar>
              <w:top w:w="80" w:type="dxa"/>
              <w:start w:w="100" w:type="dxa"/>
              <w:bottom w:w="80" w:type="dxa"/>
              <w:end w:w="100" w:type="dxa"/>
            </w:tcMar>
            <w:vAlign w:val="top"/>
            <w:shd w:fill="F7F9FC"/>
          </w:tcPr>
          <w:p>
            <w:r>
              <w:rPr>
                <w:rFonts w:ascii="Aptos" w:hAnsi="Aptos"/>
                <w:sz w:val="16"/>
              </w:rPr>
              <w:t>2</w:t>
            </w:r>
          </w:p>
        </w:tc>
        <w:tc>
          <w:tcPr>
            <w:tcW w:type="dxa" w:w="4320"/>
            <w:tcMar>
              <w:top w:w="80" w:type="dxa"/>
              <w:start w:w="100" w:type="dxa"/>
              <w:bottom w:w="80" w:type="dxa"/>
              <w:end w:w="100" w:type="dxa"/>
            </w:tcMar>
            <w:vAlign w:val="top"/>
            <w:shd w:fill="F7F9FC"/>
          </w:tcPr>
          <w:p>
            <w:r>
              <w:rPr>
                <w:rFonts w:ascii="Aptos" w:hAnsi="Aptos"/>
                <w:sz w:val="16"/>
              </w:rPr>
              <w:t>Install/configure Docker runtime</w:t>
            </w:r>
          </w:p>
        </w:tc>
        <w:tc>
          <w:tcPr>
            <w:tcW w:type="dxa" w:w="2160"/>
            <w:tcMar>
              <w:top w:w="80" w:type="dxa"/>
              <w:start w:w="100" w:type="dxa"/>
              <w:bottom w:w="80" w:type="dxa"/>
              <w:end w:w="100" w:type="dxa"/>
            </w:tcMar>
            <w:vAlign w:val="top"/>
            <w:shd w:fill="F7F9FC"/>
          </w:tcPr>
          <w:p>
            <w:r>
              <w:rPr>
                <w:rFonts w:ascii="Aptos" w:hAnsi="Aptos"/>
                <w:sz w:val="16"/>
              </w:rPr>
              <w:t>Supplier/Client</w:t>
            </w:r>
          </w:p>
        </w:tc>
        <w:tc>
          <w:tcPr>
            <w:tcW w:type="dxa" w:w="3024"/>
            <w:tcMar>
              <w:top w:w="80" w:type="dxa"/>
              <w:start w:w="100" w:type="dxa"/>
              <w:bottom w:w="80" w:type="dxa"/>
              <w:end w:w="100" w:type="dxa"/>
            </w:tcMar>
            <w:vAlign w:val="top"/>
            <w:shd w:fill="F7F9FC"/>
          </w:tcPr>
          <w:p>
            <w:r>
              <w:rPr>
                <w:rFonts w:ascii="Aptos" w:hAnsi="Aptos"/>
                <w:sz w:val="16"/>
              </w:rPr>
              <w:t>Services start cleanly</w:t>
            </w:r>
          </w:p>
        </w:tc>
      </w:tr>
      <w:tr>
        <w:tc>
          <w:tcPr>
            <w:tcW w:type="dxa" w:w="576"/>
            <w:tcMar>
              <w:top w:w="80" w:type="dxa"/>
              <w:start w:w="100" w:type="dxa"/>
              <w:bottom w:w="80" w:type="dxa"/>
              <w:end w:w="100" w:type="dxa"/>
            </w:tcMar>
            <w:vAlign w:val="top"/>
          </w:tcPr>
          <w:p>
            <w:r>
              <w:rPr>
                <w:rFonts w:ascii="Aptos" w:hAnsi="Aptos"/>
                <w:sz w:val="16"/>
              </w:rPr>
              <w:t>3</w:t>
            </w:r>
          </w:p>
        </w:tc>
        <w:tc>
          <w:tcPr>
            <w:tcW w:type="dxa" w:w="4320"/>
            <w:tcMar>
              <w:top w:w="80" w:type="dxa"/>
              <w:start w:w="100" w:type="dxa"/>
              <w:bottom w:w="80" w:type="dxa"/>
              <w:end w:w="100" w:type="dxa"/>
            </w:tcMar>
            <w:vAlign w:val="top"/>
          </w:tcPr>
          <w:p>
            <w:r>
              <w:rPr>
                <w:rFonts w:ascii="Aptos" w:hAnsi="Aptos"/>
                <w:sz w:val="16"/>
              </w:rPr>
              <w:t>Configure application environment</w:t>
            </w:r>
          </w:p>
        </w:tc>
        <w:tc>
          <w:tcPr>
            <w:tcW w:type="dxa" w:w="2160"/>
            <w:tcMar>
              <w:top w:w="80" w:type="dxa"/>
              <w:start w:w="100" w:type="dxa"/>
              <w:bottom w:w="80" w:type="dxa"/>
              <w:end w:w="100" w:type="dxa"/>
            </w:tcMar>
            <w:vAlign w:val="top"/>
          </w:tcPr>
          <w:p>
            <w:r>
              <w:rPr>
                <w:rFonts w:ascii="Aptos" w:hAnsi="Aptos"/>
                <w:sz w:val="16"/>
              </w:rPr>
              <w:t>Supplier</w:t>
            </w:r>
          </w:p>
        </w:tc>
        <w:tc>
          <w:tcPr>
            <w:tcW w:type="dxa" w:w="3024"/>
            <w:tcMar>
              <w:top w:w="80" w:type="dxa"/>
              <w:start w:w="100" w:type="dxa"/>
              <w:bottom w:w="80" w:type="dxa"/>
              <w:end w:w="100" w:type="dxa"/>
            </w:tcMar>
            <w:vAlign w:val="top"/>
          </w:tcPr>
          <w:p>
            <w:r>
              <w:rPr>
                <w:rFonts w:ascii="Aptos" w:hAnsi="Aptos"/>
                <w:sz w:val="16"/>
              </w:rPr>
              <w:t>Validated environment variables</w:t>
            </w:r>
          </w:p>
        </w:tc>
      </w:tr>
      <w:tr>
        <w:tc>
          <w:tcPr>
            <w:tcW w:type="dxa" w:w="576"/>
            <w:tcMar>
              <w:top w:w="80" w:type="dxa"/>
              <w:start w:w="100" w:type="dxa"/>
              <w:bottom w:w="80" w:type="dxa"/>
              <w:end w:w="100" w:type="dxa"/>
            </w:tcMar>
            <w:vAlign w:val="top"/>
            <w:shd w:fill="F7F9FC"/>
          </w:tcPr>
          <w:p>
            <w:r>
              <w:rPr>
                <w:rFonts w:ascii="Aptos" w:hAnsi="Aptos"/>
                <w:sz w:val="16"/>
              </w:rPr>
              <w:t>4</w:t>
            </w:r>
          </w:p>
        </w:tc>
        <w:tc>
          <w:tcPr>
            <w:tcW w:type="dxa" w:w="4320"/>
            <w:tcMar>
              <w:top w:w="80" w:type="dxa"/>
              <w:start w:w="100" w:type="dxa"/>
              <w:bottom w:w="80" w:type="dxa"/>
              <w:end w:w="100" w:type="dxa"/>
            </w:tcMar>
            <w:vAlign w:val="top"/>
            <w:shd w:fill="F7F9FC"/>
          </w:tcPr>
          <w:p>
            <w:r>
              <w:rPr>
                <w:rFonts w:ascii="Aptos" w:hAnsi="Aptos"/>
                <w:sz w:val="16"/>
              </w:rPr>
              <w:t>Deploy PostgreSQL/Redis/app/workers</w:t>
            </w:r>
          </w:p>
        </w:tc>
        <w:tc>
          <w:tcPr>
            <w:tcW w:type="dxa" w:w="2160"/>
            <w:tcMar>
              <w:top w:w="80" w:type="dxa"/>
              <w:start w:w="100" w:type="dxa"/>
              <w:bottom w:w="80" w:type="dxa"/>
              <w:end w:w="100" w:type="dxa"/>
            </w:tcMar>
            <w:vAlign w:val="top"/>
            <w:shd w:fill="F7F9FC"/>
          </w:tcPr>
          <w:p>
            <w:r>
              <w:rPr>
                <w:rFonts w:ascii="Aptos" w:hAnsi="Aptos"/>
                <w:sz w:val="16"/>
              </w:rPr>
              <w:t>Supplier</w:t>
            </w:r>
          </w:p>
        </w:tc>
        <w:tc>
          <w:tcPr>
            <w:tcW w:type="dxa" w:w="3024"/>
            <w:tcMar>
              <w:top w:w="80" w:type="dxa"/>
              <w:start w:w="100" w:type="dxa"/>
              <w:bottom w:w="80" w:type="dxa"/>
              <w:end w:w="100" w:type="dxa"/>
            </w:tcMar>
            <w:vAlign w:val="top"/>
            <w:shd w:fill="F7F9FC"/>
          </w:tcPr>
          <w:p>
            <w:r>
              <w:rPr>
                <w:rFonts w:ascii="Aptos" w:hAnsi="Aptos"/>
                <w:sz w:val="16"/>
              </w:rPr>
              <w:t>Health checks pass</w:t>
            </w:r>
          </w:p>
        </w:tc>
      </w:tr>
      <w:tr>
        <w:tc>
          <w:tcPr>
            <w:tcW w:type="dxa" w:w="576"/>
            <w:tcMar>
              <w:top w:w="80" w:type="dxa"/>
              <w:start w:w="100" w:type="dxa"/>
              <w:bottom w:w="80" w:type="dxa"/>
              <w:end w:w="100" w:type="dxa"/>
            </w:tcMar>
            <w:vAlign w:val="top"/>
          </w:tcPr>
          <w:p>
            <w:r>
              <w:rPr>
                <w:rFonts w:ascii="Aptos" w:hAnsi="Aptos"/>
                <w:sz w:val="16"/>
              </w:rPr>
              <w:t>5</w:t>
            </w:r>
          </w:p>
        </w:tc>
        <w:tc>
          <w:tcPr>
            <w:tcW w:type="dxa" w:w="4320"/>
            <w:tcMar>
              <w:top w:w="80" w:type="dxa"/>
              <w:start w:w="100" w:type="dxa"/>
              <w:bottom w:w="80" w:type="dxa"/>
              <w:end w:w="100" w:type="dxa"/>
            </w:tcMar>
            <w:vAlign w:val="top"/>
          </w:tcPr>
          <w:p>
            <w:r>
              <w:rPr>
                <w:rFonts w:ascii="Aptos" w:hAnsi="Aptos"/>
                <w:sz w:val="16"/>
              </w:rPr>
              <w:t>Configure HTTPS</w:t>
            </w:r>
          </w:p>
        </w:tc>
        <w:tc>
          <w:tcPr>
            <w:tcW w:type="dxa" w:w="2160"/>
            <w:tcMar>
              <w:top w:w="80" w:type="dxa"/>
              <w:start w:w="100" w:type="dxa"/>
              <w:bottom w:w="80" w:type="dxa"/>
              <w:end w:w="100" w:type="dxa"/>
            </w:tcMar>
            <w:vAlign w:val="top"/>
          </w:tcPr>
          <w:p>
            <w:r>
              <w:rPr>
                <w:rFonts w:ascii="Aptos" w:hAnsi="Aptos"/>
                <w:sz w:val="16"/>
              </w:rPr>
              <w:t>Supplier/Client</w:t>
            </w:r>
          </w:p>
        </w:tc>
        <w:tc>
          <w:tcPr>
            <w:tcW w:type="dxa" w:w="3024"/>
            <w:tcMar>
              <w:top w:w="80" w:type="dxa"/>
              <w:start w:w="100" w:type="dxa"/>
              <w:bottom w:w="80" w:type="dxa"/>
              <w:end w:w="100" w:type="dxa"/>
            </w:tcMar>
            <w:vAlign w:val="top"/>
          </w:tcPr>
          <w:p>
            <w:r>
              <w:rPr>
                <w:rFonts w:ascii="Aptos" w:hAnsi="Aptos"/>
                <w:sz w:val="16"/>
              </w:rPr>
              <w:t>Valid certificate</w:t>
            </w:r>
          </w:p>
        </w:tc>
      </w:tr>
      <w:tr>
        <w:tc>
          <w:tcPr>
            <w:tcW w:type="dxa" w:w="576"/>
            <w:tcMar>
              <w:top w:w="80" w:type="dxa"/>
              <w:start w:w="100" w:type="dxa"/>
              <w:bottom w:w="80" w:type="dxa"/>
              <w:end w:w="100" w:type="dxa"/>
            </w:tcMar>
            <w:vAlign w:val="top"/>
            <w:shd w:fill="F7F9FC"/>
          </w:tcPr>
          <w:p>
            <w:r>
              <w:rPr>
                <w:rFonts w:ascii="Aptos" w:hAnsi="Aptos"/>
                <w:sz w:val="16"/>
              </w:rPr>
              <w:t>6</w:t>
            </w:r>
          </w:p>
        </w:tc>
        <w:tc>
          <w:tcPr>
            <w:tcW w:type="dxa" w:w="4320"/>
            <w:tcMar>
              <w:top w:w="80" w:type="dxa"/>
              <w:start w:w="100" w:type="dxa"/>
              <w:bottom w:w="80" w:type="dxa"/>
              <w:end w:w="100" w:type="dxa"/>
            </w:tcMar>
            <w:vAlign w:val="top"/>
            <w:shd w:fill="F7F9FC"/>
          </w:tcPr>
          <w:p>
            <w:r>
              <w:rPr>
                <w:rFonts w:ascii="Aptos" w:hAnsi="Aptos"/>
                <w:sz w:val="16"/>
              </w:rPr>
              <w:t>Configure sending domain DNS</w:t>
            </w:r>
          </w:p>
        </w:tc>
        <w:tc>
          <w:tcPr>
            <w:tcW w:type="dxa" w:w="2160"/>
            <w:tcMar>
              <w:top w:w="80" w:type="dxa"/>
              <w:start w:w="100" w:type="dxa"/>
              <w:bottom w:w="80" w:type="dxa"/>
              <w:end w:w="100" w:type="dxa"/>
            </w:tcMar>
            <w:vAlign w:val="top"/>
            <w:shd w:fill="F7F9FC"/>
          </w:tcPr>
          <w:p>
            <w:r>
              <w:rPr>
                <w:rFonts w:ascii="Aptos" w:hAnsi="Aptos"/>
                <w:sz w:val="16"/>
              </w:rPr>
              <w:t>Client with supplier guidance</w:t>
            </w:r>
          </w:p>
        </w:tc>
        <w:tc>
          <w:tcPr>
            <w:tcW w:type="dxa" w:w="3024"/>
            <w:tcMar>
              <w:top w:w="80" w:type="dxa"/>
              <w:start w:w="100" w:type="dxa"/>
              <w:bottom w:w="80" w:type="dxa"/>
              <w:end w:w="100" w:type="dxa"/>
            </w:tcMar>
            <w:vAlign w:val="top"/>
            <w:shd w:fill="F7F9FC"/>
          </w:tcPr>
          <w:p>
            <w:r>
              <w:rPr>
                <w:rFonts w:ascii="Aptos" w:hAnsi="Aptos"/>
                <w:sz w:val="16"/>
              </w:rPr>
              <w:t>SPF/DKIM/DMARC status recorded</w:t>
            </w:r>
          </w:p>
        </w:tc>
      </w:tr>
      <w:tr>
        <w:tc>
          <w:tcPr>
            <w:tcW w:type="dxa" w:w="576"/>
            <w:tcMar>
              <w:top w:w="80" w:type="dxa"/>
              <w:start w:w="100" w:type="dxa"/>
              <w:bottom w:w="80" w:type="dxa"/>
              <w:end w:w="100" w:type="dxa"/>
            </w:tcMar>
            <w:vAlign w:val="top"/>
          </w:tcPr>
          <w:p>
            <w:r>
              <w:t>7</w:t>
            </w:r>
          </w:p>
        </w:tc>
        <w:tc>
          <w:tcPr>
            <w:tcW w:type="dxa" w:w="4320"/>
            <w:tcMar>
              <w:top w:w="80" w:type="dxa"/>
              <w:start w:w="100" w:type="dxa"/>
              <w:bottom w:w="80" w:type="dxa"/>
              <w:end w:w="100" w:type="dxa"/>
            </w:tcMar>
            <w:vAlign w:val="top"/>
          </w:tcPr>
          <w:p>
            <w:r>
              <w:t>Configure outbound MTA + DNS identity</w:t>
            </w:r>
          </w:p>
        </w:tc>
        <w:tc>
          <w:tcPr>
            <w:tcW w:type="dxa" w:w="2160"/>
            <w:tcMar>
              <w:top w:w="80" w:type="dxa"/>
              <w:start w:w="100" w:type="dxa"/>
              <w:bottom w:w="80" w:type="dxa"/>
              <w:end w:w="100" w:type="dxa"/>
            </w:tcMar>
            <w:vAlign w:val="top"/>
          </w:tcPr>
          <w:p>
            <w:r>
              <w:t>Supplier/Client</w:t>
            </w:r>
          </w:p>
        </w:tc>
        <w:tc>
          <w:tcPr>
            <w:tcW w:type="dxa" w:w="3024"/>
            <w:tcMar>
              <w:top w:w="80" w:type="dxa"/>
              <w:start w:w="100" w:type="dxa"/>
              <w:bottom w:w="80" w:type="dxa"/>
              <w:end w:w="100" w:type="dxa"/>
            </w:tcMar>
            <w:vAlign w:val="top"/>
          </w:tcPr>
          <w:p>
            <w:r>
              <w:t>Direct-to-MX test delivery and bounce test succeed</w:t>
            </w:r>
          </w:p>
        </w:tc>
      </w:tr>
      <w:tr>
        <w:tc>
          <w:tcPr>
            <w:tcW w:type="dxa" w:w="576"/>
            <w:tcMar>
              <w:top w:w="80" w:type="dxa"/>
              <w:start w:w="100" w:type="dxa"/>
              <w:bottom w:w="80" w:type="dxa"/>
              <w:end w:w="100" w:type="dxa"/>
            </w:tcMar>
            <w:vAlign w:val="top"/>
            <w:shd w:fill="F7F9FC"/>
          </w:tcPr>
          <w:p>
            <w:r>
              <w:rPr>
                <w:rFonts w:ascii="Aptos" w:hAnsi="Aptos"/>
                <w:sz w:val="16"/>
              </w:rPr>
              <w:t>8</w:t>
            </w:r>
          </w:p>
        </w:tc>
        <w:tc>
          <w:tcPr>
            <w:tcW w:type="dxa" w:w="4320"/>
            <w:tcMar>
              <w:top w:w="80" w:type="dxa"/>
              <w:start w:w="100" w:type="dxa"/>
              <w:bottom w:w="80" w:type="dxa"/>
              <w:end w:w="100" w:type="dxa"/>
            </w:tcMar>
            <w:vAlign w:val="top"/>
            <w:shd w:fill="F7F9FC"/>
          </w:tcPr>
          <w:p>
            <w:r>
              <w:rPr>
                <w:rFonts w:ascii="Aptos" w:hAnsi="Aptos"/>
                <w:sz w:val="16"/>
              </w:rPr>
              <w:t>Configure backups</w:t>
            </w:r>
          </w:p>
        </w:tc>
        <w:tc>
          <w:tcPr>
            <w:tcW w:type="dxa" w:w="2160"/>
            <w:tcMar>
              <w:top w:w="80" w:type="dxa"/>
              <w:start w:w="100" w:type="dxa"/>
              <w:bottom w:w="80" w:type="dxa"/>
              <w:end w:w="100" w:type="dxa"/>
            </w:tcMar>
            <w:vAlign w:val="top"/>
            <w:shd w:fill="F7F9FC"/>
          </w:tcPr>
          <w:p>
            <w:r>
              <w:rPr>
                <w:rFonts w:ascii="Aptos" w:hAnsi="Aptos"/>
                <w:sz w:val="16"/>
              </w:rPr>
              <w:t>Client/Supplier as scoped</w:t>
            </w:r>
          </w:p>
        </w:tc>
        <w:tc>
          <w:tcPr>
            <w:tcW w:type="dxa" w:w="3024"/>
            <w:tcMar>
              <w:top w:w="80" w:type="dxa"/>
              <w:start w:w="100" w:type="dxa"/>
              <w:bottom w:w="80" w:type="dxa"/>
              <w:end w:w="100" w:type="dxa"/>
            </w:tcMar>
            <w:vAlign w:val="top"/>
            <w:shd w:fill="F7F9FC"/>
          </w:tcPr>
          <w:p>
            <w:r>
              <w:rPr>
                <w:rFonts w:ascii="Aptos" w:hAnsi="Aptos"/>
                <w:sz w:val="16"/>
              </w:rPr>
              <w:t>Backup + restore test</w:t>
            </w:r>
          </w:p>
        </w:tc>
      </w:tr>
      <w:tr>
        <w:tc>
          <w:tcPr>
            <w:tcW w:type="dxa" w:w="576"/>
            <w:tcMar>
              <w:top w:w="80" w:type="dxa"/>
              <w:start w:w="100" w:type="dxa"/>
              <w:bottom w:w="80" w:type="dxa"/>
              <w:end w:w="100" w:type="dxa"/>
            </w:tcMar>
            <w:vAlign w:val="top"/>
          </w:tcPr>
          <w:p>
            <w:r>
              <w:rPr>
                <w:rFonts w:ascii="Aptos" w:hAnsi="Aptos"/>
                <w:sz w:val="16"/>
              </w:rPr>
              <w:t>9</w:t>
            </w:r>
          </w:p>
        </w:tc>
        <w:tc>
          <w:tcPr>
            <w:tcW w:type="dxa" w:w="4320"/>
            <w:tcMar>
              <w:top w:w="80" w:type="dxa"/>
              <w:start w:w="100" w:type="dxa"/>
              <w:bottom w:w="80" w:type="dxa"/>
              <w:end w:w="100" w:type="dxa"/>
            </w:tcMar>
            <w:vAlign w:val="top"/>
          </w:tcPr>
          <w:p>
            <w:r>
              <w:rPr>
                <w:rFonts w:ascii="Aptos" w:hAnsi="Aptos"/>
                <w:sz w:val="16"/>
              </w:rPr>
              <w:t>Run production smoke tests</w:t>
            </w:r>
          </w:p>
        </w:tc>
        <w:tc>
          <w:tcPr>
            <w:tcW w:type="dxa" w:w="2160"/>
            <w:tcMar>
              <w:top w:w="80" w:type="dxa"/>
              <w:start w:w="100" w:type="dxa"/>
              <w:bottom w:w="80" w:type="dxa"/>
              <w:end w:w="100" w:type="dxa"/>
            </w:tcMar>
            <w:vAlign w:val="top"/>
          </w:tcPr>
          <w:p>
            <w:r>
              <w:rPr>
                <w:rFonts w:ascii="Aptos" w:hAnsi="Aptos"/>
                <w:sz w:val="16"/>
              </w:rPr>
              <w:t>Supplier + Client</w:t>
            </w:r>
          </w:p>
        </w:tc>
        <w:tc>
          <w:tcPr>
            <w:tcW w:type="dxa" w:w="3024"/>
            <w:tcMar>
              <w:top w:w="80" w:type="dxa"/>
              <w:start w:w="100" w:type="dxa"/>
              <w:bottom w:w="80" w:type="dxa"/>
              <w:end w:w="100" w:type="dxa"/>
            </w:tcMar>
            <w:vAlign w:val="top"/>
          </w:tcPr>
          <w:p>
            <w:r>
              <w:rPr>
                <w:rFonts w:ascii="Aptos" w:hAnsi="Aptos"/>
                <w:sz w:val="16"/>
              </w:rPr>
              <w:t>Signed test record</w:t>
            </w:r>
          </w:p>
        </w:tc>
      </w:tr>
      <w:tr>
        <w:tc>
          <w:tcPr>
            <w:tcW w:type="dxa" w:w="576"/>
            <w:tcMar>
              <w:top w:w="80" w:type="dxa"/>
              <w:start w:w="100" w:type="dxa"/>
              <w:bottom w:w="80" w:type="dxa"/>
              <w:end w:w="100" w:type="dxa"/>
            </w:tcMar>
            <w:vAlign w:val="top"/>
            <w:shd w:fill="F7F9FC"/>
          </w:tcPr>
          <w:p>
            <w:r>
              <w:rPr>
                <w:rFonts w:ascii="Aptos" w:hAnsi="Aptos"/>
                <w:sz w:val="16"/>
              </w:rPr>
              <w:t>10</w:t>
            </w:r>
          </w:p>
        </w:tc>
        <w:tc>
          <w:tcPr>
            <w:tcW w:type="dxa" w:w="4320"/>
            <w:tcMar>
              <w:top w:w="80" w:type="dxa"/>
              <w:start w:w="100" w:type="dxa"/>
              <w:bottom w:w="80" w:type="dxa"/>
              <w:end w:w="100" w:type="dxa"/>
            </w:tcMar>
            <w:vAlign w:val="top"/>
            <w:shd w:fill="F7F9FC"/>
          </w:tcPr>
          <w:p>
            <w:r>
              <w:rPr>
                <w:rFonts w:ascii="Aptos" w:hAnsi="Aptos"/>
                <w:sz w:val="16"/>
              </w:rPr>
              <w:t>Run load/queue validation</w:t>
            </w:r>
          </w:p>
        </w:tc>
        <w:tc>
          <w:tcPr>
            <w:tcW w:type="dxa" w:w="2160"/>
            <w:tcMar>
              <w:top w:w="80" w:type="dxa"/>
              <w:start w:w="100" w:type="dxa"/>
              <w:bottom w:w="80" w:type="dxa"/>
              <w:end w:w="100" w:type="dxa"/>
            </w:tcMar>
            <w:vAlign w:val="top"/>
            <w:shd w:fill="F7F9FC"/>
          </w:tcPr>
          <w:p>
            <w:r>
              <w:rPr>
                <w:rFonts w:ascii="Aptos" w:hAnsi="Aptos"/>
                <w:sz w:val="16"/>
              </w:rPr>
              <w:t>Supplier</w:t>
            </w:r>
          </w:p>
        </w:tc>
        <w:tc>
          <w:tcPr>
            <w:tcW w:type="dxa" w:w="3024"/>
            <w:tcMar>
              <w:top w:w="80" w:type="dxa"/>
              <w:start w:w="100" w:type="dxa"/>
              <w:bottom w:w="80" w:type="dxa"/>
              <w:end w:w="100" w:type="dxa"/>
            </w:tcMar>
            <w:vAlign w:val="top"/>
            <w:shd w:fill="F7F9FC"/>
          </w:tcPr>
          <w:p>
            <w:r>
              <w:rPr>
                <w:rFonts w:ascii="Aptos" w:hAnsi="Aptos"/>
                <w:sz w:val="16"/>
              </w:rPr>
              <w:t>Agreed load test report</w:t>
            </w:r>
          </w:p>
        </w:tc>
      </w:tr>
    </w:tbl>
    <w:p>
      <w:pPr>
        <w:pStyle w:val="Heading1"/>
      </w:pPr>
      <w:r>
        <w:t>4. Handover package</w:t>
      </w:r>
    </w:p>
    <w:p>
      <w:pPr>
        <w:pStyle w:val="ListBullet"/>
        <w:spacing w:after="40"/>
      </w:pPr>
      <w:r>
        <w:rPr>
          <w:rFonts w:ascii="Aptos" w:hAnsi="Aptos"/>
        </w:rPr>
        <w:t>Deployable application/source artifacts as defined by the commercial agreement.</w:t>
      </w:r>
    </w:p>
    <w:p>
      <w:pPr>
        <w:pStyle w:val="ListBullet"/>
        <w:spacing w:after="40"/>
      </w:pPr>
      <w:r>
        <w:rPr>
          <w:rFonts w:ascii="Aptos" w:hAnsi="Aptos"/>
        </w:rPr>
        <w:t>Docker Compose/configuration templates and environment-variable reference.</w:t>
      </w:r>
    </w:p>
    <w:p>
      <w:pPr>
        <w:pStyle w:val="ListBullet"/>
        <w:spacing w:after="40"/>
      </w:pPr>
      <w:r>
        <w:rPr>
          <w:rFonts w:ascii="Aptos" w:hAnsi="Aptos"/>
        </w:rPr>
        <w:t>Database migration and backup/restore instructions.</w:t>
      </w:r>
    </w:p>
    <w:p>
      <w:pPr>
        <w:pStyle w:val="ListBullet"/>
        <w:spacing w:after="40"/>
      </w:pPr>
      <w:r>
        <w:rPr>
          <w:rFonts w:ascii="Aptos" w:hAnsi="Aptos"/>
        </w:rPr>
        <w:t>Administrator guide and campaign-operator quick guide.</w:t>
      </w:r>
    </w:p>
    <w:p>
      <w:pPr>
        <w:pStyle w:val="ListBullet"/>
        <w:spacing w:after="40"/>
      </w:pPr>
      <w:r>
        <w:t>MTA configuration, DNS identity, bounce/DSN processing and optional relay configuration instructions.</w:t>
      </w:r>
    </w:p>
    <w:p>
      <w:pPr>
        <w:pStyle w:val="ListBullet"/>
        <w:spacing w:after="40"/>
      </w:pPr>
      <w:r>
        <w:rPr>
          <w:rFonts w:ascii="Aptos" w:hAnsi="Aptos"/>
        </w:rPr>
        <w:t>DNS/SPF/DKIM/DMARC configuration notes.</w:t>
      </w:r>
    </w:p>
    <w:p>
      <w:pPr>
        <w:pStyle w:val="ListBullet"/>
        <w:spacing w:after="40"/>
      </w:pPr>
      <w:r>
        <w:rPr>
          <w:rFonts w:ascii="Aptos" w:hAnsi="Aptos"/>
        </w:rPr>
        <w:t>Operational runbook: restart services, inspect queue, pause campaign, review failures and restore backup.</w:t>
      </w:r>
    </w:p>
    <w:p>
      <w:pPr>
        <w:pStyle w:val="ListBullet"/>
        <w:spacing w:after="40"/>
      </w:pPr>
      <w:r>
        <w:rPr>
          <w:rFonts w:ascii="Aptos" w:hAnsi="Aptos"/>
        </w:rPr>
        <w:t>Known limitations and outstanding items list.</w:t>
      </w:r>
    </w:p>
    <w:p>
      <w:pPr>
        <w:pStyle w:val="ListBullet"/>
        <w:spacing w:after="40"/>
      </w:pPr>
      <w:r>
        <w:rPr>
          <w:rFonts w:ascii="Aptos" w:hAnsi="Aptos"/>
        </w:rPr>
        <w:t>Acceptance test record and final handover checklist.</w:t>
      </w:r>
    </w:p>
    <w:p>
      <w:pPr>
        <w:pStyle w:val="Heading1"/>
      </w:pPr>
      <w:r>
        <w:t>5. Credential ownership and rotation</w:t>
      </w:r>
    </w:p>
    <w:p>
      <w:pPr>
        <w:pStyle w:val="ListNumber"/>
      </w:pPr>
      <w:r>
        <w:t>Client creates/owns production cloud, DNS, static sending IP and any optional fallback relay account.</w:t>
      </w:r>
    </w:p>
    <w:p>
      <w:pPr>
        <w:pStyle w:val="ListNumber"/>
      </w:pPr>
      <w:r>
        <w:rPr>
          <w:rFonts w:ascii="Aptos" w:hAnsi="Aptos"/>
        </w:rPr>
        <w:t>Supplier receives only the minimum temporary access needed for deployment.</w:t>
      </w:r>
    </w:p>
    <w:p>
      <w:pPr>
        <w:pStyle w:val="ListNumber"/>
      </w:pPr>
      <w:r>
        <w:rPr>
          <w:rFonts w:ascii="Aptos" w:hAnsi="Aptos"/>
        </w:rPr>
        <w:t>After acceptance, client rotates production secrets/passwords/API keys as appropriate.</w:t>
      </w:r>
    </w:p>
    <w:p>
      <w:pPr>
        <w:pStyle w:val="ListNumber"/>
      </w:pPr>
      <w:r>
        <w:rPr>
          <w:rFonts w:ascii="Aptos" w:hAnsi="Aptos"/>
        </w:rPr>
        <w:t>Supplier privileged production accounts are disabled or reduced unless ongoing support explicitly requires access.</w:t>
      </w:r>
    </w:p>
    <w:p>
      <w:pPr>
        <w:pStyle w:val="ListNumber"/>
      </w:pPr>
      <w:r>
        <w:rPr>
          <w:rFonts w:ascii="Aptos" w:hAnsi="Aptos"/>
        </w:rPr>
        <w:t>Future support access is time-bounded and approved by the client.</w:t>
      </w:r>
    </w:p>
    <w:p>
      <w:pPr>
        <w:pStyle w:val="Heading1"/>
      </w:pPr>
      <w:r>
        <w:t>6. Training topics</w:t>
      </w:r>
    </w:p>
    <w:p>
      <w:pPr>
        <w:pStyle w:val="ListBullet"/>
        <w:spacing w:after="40"/>
      </w:pPr>
      <w:r>
        <w:rPr>
          <w:rFonts w:ascii="Aptos" w:hAnsi="Aptos"/>
        </w:rPr>
        <w:t>Creating users and assigning roles.</w:t>
      </w:r>
    </w:p>
    <w:p>
      <w:pPr>
        <w:pStyle w:val="ListBullet"/>
        <w:spacing w:after="40"/>
      </w:pPr>
      <w:r>
        <w:rPr>
          <w:rFonts w:ascii="Aptos" w:hAnsi="Aptos"/>
        </w:rPr>
        <w:t>Importing contacts and interpreting import outcomes.</w:t>
      </w:r>
    </w:p>
    <w:p>
      <w:pPr>
        <w:pStyle w:val="ListBullet"/>
        <w:spacing w:after="40"/>
      </w:pPr>
      <w:r>
        <w:rPr>
          <w:rFonts w:ascii="Aptos" w:hAnsi="Aptos"/>
        </w:rPr>
        <w:t>Creating, testing, scheduling and pausing campaigns.</w:t>
      </w:r>
    </w:p>
    <w:p>
      <w:pPr>
        <w:pStyle w:val="ListBullet"/>
        <w:spacing w:after="40"/>
      </w:pPr>
      <w:r>
        <w:rPr>
          <w:rFonts w:ascii="Aptos" w:hAnsi="Aptos"/>
        </w:rPr>
        <w:t>Reviewing suppression, bounce and complaint events.</w:t>
      </w:r>
    </w:p>
    <w:p>
      <w:pPr>
        <w:pStyle w:val="ListBullet"/>
        <w:spacing w:after="40"/>
      </w:pPr>
      <w:r>
        <w:t>Changing MTA concurrency/rate limits safely and interpreting remote SMTP responses.</w:t>
      </w:r>
    </w:p>
    <w:p>
      <w:pPr>
        <w:pStyle w:val="ListBullet"/>
        <w:spacing w:after="40"/>
      </w:pPr>
      <w:r>
        <w:rPr>
          <w:rFonts w:ascii="Aptos" w:hAnsi="Aptos"/>
        </w:rPr>
        <w:t>Checking queues, health status and logs.</w:t>
      </w:r>
    </w:p>
    <w:p>
      <w:pPr>
        <w:pStyle w:val="ListBullet"/>
        <w:spacing w:after="40"/>
      </w:pPr>
      <w:r>
        <w:rPr>
          <w:rFonts w:ascii="Aptos" w:hAnsi="Aptos"/>
        </w:rPr>
        <w:t>Performing backup/restore and basic incident response.</w:t>
      </w:r>
    </w:p>
    <w:p>
      <w:pPr>
        <w:pStyle w:val="Heading1"/>
        <w:pageBreakBefore/>
      </w:pPr>
      <w:r>
        <w:t>7. Acceptance sign-off</w:t>
      </w:r>
    </w:p>
    <w:tbl>
      <w:tblPr>
        <w:tblStyle w:val="TableGrid"/>
        <w:tblW w:type="auto" w:w="0"/>
        <w:jc w:val="center"/>
        <w:tblLook w:firstColumn="1" w:firstRow="1" w:lastColumn="0" w:lastRow="0" w:noHBand="0" w:noVBand="1" w:val="04A0"/>
      </w:tblPr>
      <w:tblGrid>
        <w:gridCol w:w="3168"/>
        <w:gridCol w:w="5184"/>
        <w:gridCol w:w="1728"/>
      </w:tblGrid>
      <w:tr>
        <w:trPr>
          <w:tblHeader w:val="true"/>
        </w:trPr>
        <w:tc>
          <w:tcPr>
            <w:tcW w:type="dxa" w:w="3360"/>
            <w:shd w:fill="17365D"/>
            <w:tcMar>
              <w:top w:w="80" w:type="dxa"/>
              <w:start w:w="100" w:type="dxa"/>
              <w:bottom w:w="80" w:type="dxa"/>
              <w:end w:w="100" w:type="dxa"/>
            </w:tcMar>
          </w:tcPr>
          <w:p>
            <w:r>
              <w:rPr>
                <w:rFonts w:ascii="Aptos" w:hAnsi="Aptos"/>
                <w:b/>
                <w:color w:val="FFFFFF"/>
                <w:sz w:val="16"/>
              </w:rPr>
              <w:t>Acceptance item</w:t>
            </w:r>
          </w:p>
        </w:tc>
        <w:tc>
          <w:tcPr>
            <w:tcW w:type="dxa" w:w="3360"/>
            <w:shd w:fill="17365D"/>
            <w:tcMar>
              <w:top w:w="80" w:type="dxa"/>
              <w:start w:w="100" w:type="dxa"/>
              <w:bottom w:w="80" w:type="dxa"/>
              <w:end w:w="100" w:type="dxa"/>
            </w:tcMar>
          </w:tcPr>
          <w:p>
            <w:r>
              <w:rPr>
                <w:rFonts w:ascii="Aptos" w:hAnsi="Aptos"/>
                <w:b/>
                <w:color w:val="FFFFFF"/>
                <w:sz w:val="16"/>
              </w:rPr>
              <w:t>Result / evidence</w:t>
            </w:r>
          </w:p>
        </w:tc>
        <w:tc>
          <w:tcPr>
            <w:tcW w:type="dxa" w:w="3360"/>
            <w:shd w:fill="17365D"/>
            <w:tcMar>
              <w:top w:w="80" w:type="dxa"/>
              <w:start w:w="100" w:type="dxa"/>
              <w:bottom w:w="80" w:type="dxa"/>
              <w:end w:w="100" w:type="dxa"/>
            </w:tcMar>
          </w:tcPr>
          <w:p>
            <w:r>
              <w:rPr>
                <w:rFonts w:ascii="Aptos" w:hAnsi="Aptos"/>
                <w:b/>
                <w:color w:val="FFFFFF"/>
                <w:sz w:val="16"/>
              </w:rPr>
              <w:t>Client initials</w:t>
            </w:r>
          </w:p>
        </w:tc>
      </w:tr>
      <w:tr>
        <w:tc>
          <w:tcPr>
            <w:tcW w:type="dxa" w:w="3168"/>
            <w:tcMar>
              <w:top w:w="80" w:type="dxa"/>
              <w:start w:w="100" w:type="dxa"/>
              <w:bottom w:w="80" w:type="dxa"/>
              <w:end w:w="100" w:type="dxa"/>
            </w:tcMar>
            <w:vAlign w:val="top"/>
          </w:tcPr>
          <w:p>
            <w:r>
              <w:rPr>
                <w:rFonts w:ascii="Aptos" w:hAnsi="Aptos"/>
                <w:sz w:val="16"/>
              </w:rPr>
              <w:t>Functional acceptance</w:t>
            </w:r>
          </w:p>
        </w:tc>
        <w:tc>
          <w:tcPr>
            <w:tcW w:type="dxa" w:w="5184"/>
            <w:tcMar>
              <w:top w:w="80" w:type="dxa"/>
              <w:start w:w="100" w:type="dxa"/>
              <w:bottom w:w="80" w:type="dxa"/>
              <w:end w:w="100" w:type="dxa"/>
            </w:tcMar>
            <w:vAlign w:val="top"/>
          </w:tcPr>
          <w:p>
            <w:r>
              <w:rPr>
                <w:rFonts w:ascii="Aptos" w:hAnsi="Aptos"/>
                <w:sz w:val="16"/>
              </w:rPr>
              <w:t>All MVP acceptance tests completed.</w:t>
            </w:r>
          </w:p>
        </w:tc>
        <w:tc>
          <w:tcPr>
            <w:tcW w:type="dxa" w:w="1728"/>
            <w:tcMar>
              <w:top w:w="80" w:type="dxa"/>
              <w:start w:w="100" w:type="dxa"/>
              <w:bottom w:w="80" w:type="dxa"/>
              <w:end w:w="100" w:type="dxa"/>
            </w:tcMar>
            <w:vAlign w:val="top"/>
          </w:tcPr>
          <w:p>
            <w:r>
              <w:rPr>
                <w:rFonts w:ascii="Aptos" w:hAnsi="Aptos"/>
                <w:sz w:val="16"/>
              </w:rPr>
            </w:r>
          </w:p>
        </w:tc>
      </w:tr>
      <w:tr>
        <w:tc>
          <w:tcPr>
            <w:tcW w:type="dxa" w:w="3168"/>
            <w:tcMar>
              <w:top w:w="80" w:type="dxa"/>
              <w:start w:w="100" w:type="dxa"/>
              <w:bottom w:w="80" w:type="dxa"/>
              <w:end w:w="100" w:type="dxa"/>
            </w:tcMar>
            <w:vAlign w:val="top"/>
            <w:shd w:fill="F7F9FC"/>
          </w:tcPr>
          <w:p>
            <w:r>
              <w:t>Sending validation</w:t>
            </w:r>
          </w:p>
        </w:tc>
        <w:tc>
          <w:tcPr>
            <w:tcW w:type="dxa" w:w="5184"/>
            <w:tcMar>
              <w:top w:w="80" w:type="dxa"/>
              <w:start w:w="100" w:type="dxa"/>
              <w:bottom w:w="80" w:type="dxa"/>
              <w:end w:w="100" w:type="dxa"/>
            </w:tcMar>
            <w:vAlign w:val="top"/>
            <w:shd w:fill="F7F9FC"/>
          </w:tcPr>
          <w:p>
            <w:r>
              <w:t>PTR/SPF/DKIM/DMARC, local submission, MTA queue/retries and controlled direct-to-MX delivery validated.</w:t>
            </w:r>
          </w:p>
        </w:tc>
        <w:tc>
          <w:tcPr>
            <w:tcW w:type="dxa" w:w="1728"/>
            <w:tcMar>
              <w:top w:w="80" w:type="dxa"/>
              <w:start w:w="100" w:type="dxa"/>
              <w:bottom w:w="80" w:type="dxa"/>
              <w:end w:w="100" w:type="dxa"/>
            </w:tcMar>
            <w:vAlign w:val="top"/>
            <w:shd w:fill="F7F9FC"/>
          </w:tcPr>
          <w:p>
            <w:r/>
          </w:p>
        </w:tc>
      </w:tr>
      <w:tr>
        <w:tc>
          <w:tcPr>
            <w:tcW w:type="dxa" w:w="3168"/>
            <w:tcMar>
              <w:top w:w="80" w:type="dxa"/>
              <w:start w:w="100" w:type="dxa"/>
              <w:bottom w:w="80" w:type="dxa"/>
              <w:end w:w="100" w:type="dxa"/>
            </w:tcMar>
            <w:vAlign w:val="top"/>
          </w:tcPr>
          <w:p>
            <w:r>
              <w:rPr>
                <w:rFonts w:ascii="Aptos" w:hAnsi="Aptos"/>
                <w:sz w:val="16"/>
              </w:rPr>
              <w:t>Suppression controls</w:t>
            </w:r>
          </w:p>
        </w:tc>
        <w:tc>
          <w:tcPr>
            <w:tcW w:type="dxa" w:w="5184"/>
            <w:tcMar>
              <w:top w:w="80" w:type="dxa"/>
              <w:start w:w="100" w:type="dxa"/>
              <w:bottom w:w="80" w:type="dxa"/>
              <w:end w:w="100" w:type="dxa"/>
            </w:tcMar>
            <w:vAlign w:val="top"/>
          </w:tcPr>
          <w:p>
            <w:r>
              <w:rPr>
                <w:rFonts w:ascii="Aptos" w:hAnsi="Aptos"/>
                <w:sz w:val="16"/>
              </w:rPr>
              <w:t>Unsubscribe/bounce/complaint tests passed.</w:t>
            </w:r>
          </w:p>
        </w:tc>
        <w:tc>
          <w:tcPr>
            <w:tcW w:type="dxa" w:w="1728"/>
            <w:tcMar>
              <w:top w:w="80" w:type="dxa"/>
              <w:start w:w="100" w:type="dxa"/>
              <w:bottom w:w="80" w:type="dxa"/>
              <w:end w:w="100" w:type="dxa"/>
            </w:tcMar>
            <w:vAlign w:val="top"/>
          </w:tcPr>
          <w:p>
            <w:r>
              <w:rPr>
                <w:rFonts w:ascii="Aptos" w:hAnsi="Aptos"/>
                <w:sz w:val="16"/>
              </w:rPr>
            </w:r>
          </w:p>
        </w:tc>
      </w:tr>
      <w:tr>
        <w:tc>
          <w:tcPr>
            <w:tcW w:type="dxa" w:w="3168"/>
            <w:tcMar>
              <w:top w:w="80" w:type="dxa"/>
              <w:start w:w="100" w:type="dxa"/>
              <w:bottom w:w="80" w:type="dxa"/>
              <w:end w:w="100" w:type="dxa"/>
            </w:tcMar>
            <w:vAlign w:val="top"/>
            <w:shd w:fill="F7F9FC"/>
          </w:tcPr>
          <w:p>
            <w:r>
              <w:rPr>
                <w:rFonts w:ascii="Aptos" w:hAnsi="Aptos"/>
                <w:sz w:val="16"/>
              </w:rPr>
              <w:t>Load validation</w:t>
            </w:r>
          </w:p>
        </w:tc>
        <w:tc>
          <w:tcPr>
            <w:tcW w:type="dxa" w:w="5184"/>
            <w:tcMar>
              <w:top w:w="80" w:type="dxa"/>
              <w:start w:w="100" w:type="dxa"/>
              <w:bottom w:w="80" w:type="dxa"/>
              <w:end w:w="100" w:type="dxa"/>
            </w:tcMar>
            <w:vAlign w:val="top"/>
            <w:shd w:fill="F7F9FC"/>
          </w:tcPr>
          <w:p>
            <w:r>
              <w:rPr>
                <w:rFonts w:ascii="Aptos" w:hAnsi="Aptos"/>
                <w:sz w:val="16"/>
              </w:rPr>
              <w:t>Agreed 20,000-recipient or equivalent load test passed.</w:t>
            </w:r>
          </w:p>
        </w:tc>
        <w:tc>
          <w:tcPr>
            <w:tcW w:type="dxa" w:w="1728"/>
            <w:tcMar>
              <w:top w:w="80" w:type="dxa"/>
              <w:start w:w="100" w:type="dxa"/>
              <w:bottom w:w="80" w:type="dxa"/>
              <w:end w:w="100" w:type="dxa"/>
            </w:tcMar>
            <w:vAlign w:val="top"/>
            <w:shd w:fill="F7F9FC"/>
          </w:tcPr>
          <w:p>
            <w:r>
              <w:rPr>
                <w:rFonts w:ascii="Aptos" w:hAnsi="Aptos"/>
                <w:sz w:val="16"/>
              </w:rPr>
            </w:r>
          </w:p>
        </w:tc>
      </w:tr>
      <w:tr>
        <w:tc>
          <w:tcPr>
            <w:tcW w:type="dxa" w:w="3168"/>
            <w:tcMar>
              <w:top w:w="80" w:type="dxa"/>
              <w:start w:w="100" w:type="dxa"/>
              <w:bottom w:w="80" w:type="dxa"/>
              <w:end w:w="100" w:type="dxa"/>
            </w:tcMar>
            <w:vAlign w:val="top"/>
          </w:tcPr>
          <w:p>
            <w:r>
              <w:rPr>
                <w:rFonts w:ascii="Aptos" w:hAnsi="Aptos"/>
                <w:sz w:val="16"/>
              </w:rPr>
              <w:t>Documentation</w:t>
            </w:r>
          </w:p>
        </w:tc>
        <w:tc>
          <w:tcPr>
            <w:tcW w:type="dxa" w:w="5184"/>
            <w:tcMar>
              <w:top w:w="80" w:type="dxa"/>
              <w:start w:w="100" w:type="dxa"/>
              <w:bottom w:w="80" w:type="dxa"/>
              <w:end w:w="100" w:type="dxa"/>
            </w:tcMar>
            <w:vAlign w:val="top"/>
          </w:tcPr>
          <w:p>
            <w:r>
              <w:rPr>
                <w:rFonts w:ascii="Aptos" w:hAnsi="Aptos"/>
                <w:sz w:val="16"/>
              </w:rPr>
              <w:t>Runbooks/admin guide delivered.</w:t>
            </w:r>
          </w:p>
        </w:tc>
        <w:tc>
          <w:tcPr>
            <w:tcW w:type="dxa" w:w="1728"/>
            <w:tcMar>
              <w:top w:w="80" w:type="dxa"/>
              <w:start w:w="100" w:type="dxa"/>
              <w:bottom w:w="80" w:type="dxa"/>
              <w:end w:w="100" w:type="dxa"/>
            </w:tcMar>
            <w:vAlign w:val="top"/>
          </w:tcPr>
          <w:p>
            <w:r>
              <w:rPr>
                <w:rFonts w:ascii="Aptos" w:hAnsi="Aptos"/>
                <w:sz w:val="16"/>
              </w:rPr>
            </w:r>
          </w:p>
        </w:tc>
      </w:tr>
      <w:tr>
        <w:tc>
          <w:tcPr>
            <w:tcW w:type="dxa" w:w="3168"/>
            <w:tcMar>
              <w:top w:w="80" w:type="dxa"/>
              <w:start w:w="100" w:type="dxa"/>
              <w:bottom w:w="80" w:type="dxa"/>
              <w:end w:w="100" w:type="dxa"/>
            </w:tcMar>
            <w:vAlign w:val="top"/>
            <w:shd w:fill="F7F9FC"/>
          </w:tcPr>
          <w:p>
            <w:r>
              <w:rPr>
                <w:rFonts w:ascii="Aptos" w:hAnsi="Aptos"/>
                <w:sz w:val="16"/>
              </w:rPr>
              <w:t>Credentials</w:t>
            </w:r>
          </w:p>
        </w:tc>
        <w:tc>
          <w:tcPr>
            <w:tcW w:type="dxa" w:w="5184"/>
            <w:tcMar>
              <w:top w:w="80" w:type="dxa"/>
              <w:start w:w="100" w:type="dxa"/>
              <w:bottom w:w="80" w:type="dxa"/>
              <w:end w:w="100" w:type="dxa"/>
            </w:tcMar>
            <w:vAlign w:val="top"/>
            <w:shd w:fill="F7F9FC"/>
          </w:tcPr>
          <w:p>
            <w:r>
              <w:rPr>
                <w:rFonts w:ascii="Aptos" w:hAnsi="Aptos"/>
                <w:sz w:val="16"/>
              </w:rPr>
              <w:t>Ownership/rotation completed.</w:t>
            </w:r>
          </w:p>
        </w:tc>
        <w:tc>
          <w:tcPr>
            <w:tcW w:type="dxa" w:w="1728"/>
            <w:tcMar>
              <w:top w:w="80" w:type="dxa"/>
              <w:start w:w="100" w:type="dxa"/>
              <w:bottom w:w="80" w:type="dxa"/>
              <w:end w:w="100" w:type="dxa"/>
            </w:tcMar>
            <w:vAlign w:val="top"/>
            <w:shd w:fill="F7F9FC"/>
          </w:tcPr>
          <w:p>
            <w:r>
              <w:rPr>
                <w:rFonts w:ascii="Aptos" w:hAnsi="Aptos"/>
                <w:sz w:val="16"/>
              </w:rPr>
            </w:r>
          </w:p>
        </w:tc>
      </w:tr>
      <w:tr>
        <w:tc>
          <w:tcPr>
            <w:tcW w:type="dxa" w:w="3168"/>
            <w:tcMar>
              <w:top w:w="80" w:type="dxa"/>
              <w:start w:w="100" w:type="dxa"/>
              <w:bottom w:w="80" w:type="dxa"/>
              <w:end w:w="100" w:type="dxa"/>
            </w:tcMar>
            <w:vAlign w:val="top"/>
          </w:tcPr>
          <w:p>
            <w:r>
              <w:rPr>
                <w:rFonts w:ascii="Aptos" w:hAnsi="Aptos"/>
                <w:sz w:val="16"/>
              </w:rPr>
              <w:t>Training</w:t>
            </w:r>
          </w:p>
        </w:tc>
        <w:tc>
          <w:tcPr>
            <w:tcW w:type="dxa" w:w="5184"/>
            <w:tcMar>
              <w:top w:w="80" w:type="dxa"/>
              <w:start w:w="100" w:type="dxa"/>
              <w:bottom w:w="80" w:type="dxa"/>
              <w:end w:w="100" w:type="dxa"/>
            </w:tcMar>
            <w:vAlign w:val="top"/>
          </w:tcPr>
          <w:p>
            <w:r>
              <w:rPr>
                <w:rFonts w:ascii="Aptos" w:hAnsi="Aptos"/>
                <w:sz w:val="16"/>
              </w:rPr>
              <w:t>Named client administrators trained.</w:t>
            </w:r>
          </w:p>
        </w:tc>
        <w:tc>
          <w:tcPr>
            <w:tcW w:type="dxa" w:w="1728"/>
            <w:tcMar>
              <w:top w:w="80" w:type="dxa"/>
              <w:start w:w="100" w:type="dxa"/>
              <w:bottom w:w="80" w:type="dxa"/>
              <w:end w:w="100" w:type="dxa"/>
            </w:tcMar>
            <w:vAlign w:val="top"/>
          </w:tcPr>
          <w:p>
            <w:r>
              <w:rPr>
                <w:rFonts w:ascii="Aptos" w:hAnsi="Aptos"/>
                <w:sz w:val="16"/>
              </w:rPr>
            </w:r>
          </w:p>
        </w:tc>
      </w:tr>
      <w:tr>
        <w:tc>
          <w:tcPr>
            <w:tcW w:type="dxa" w:w="3168"/>
            <w:tcMar>
              <w:top w:w="80" w:type="dxa"/>
              <w:start w:w="100" w:type="dxa"/>
              <w:bottom w:w="80" w:type="dxa"/>
              <w:end w:w="100" w:type="dxa"/>
            </w:tcMar>
            <w:vAlign w:val="top"/>
            <w:shd w:fill="F7F9FC"/>
          </w:tcPr>
          <w:p>
            <w:r>
              <w:rPr>
                <w:rFonts w:ascii="Aptos" w:hAnsi="Aptos"/>
                <w:sz w:val="16"/>
              </w:rPr>
              <w:t>Open issues</w:t>
            </w:r>
          </w:p>
        </w:tc>
        <w:tc>
          <w:tcPr>
            <w:tcW w:type="dxa" w:w="5184"/>
            <w:tcMar>
              <w:top w:w="80" w:type="dxa"/>
              <w:start w:w="100" w:type="dxa"/>
              <w:bottom w:w="80" w:type="dxa"/>
              <w:end w:w="100" w:type="dxa"/>
            </w:tcMar>
            <w:vAlign w:val="top"/>
            <w:shd w:fill="F7F9FC"/>
          </w:tcPr>
          <w:p>
            <w:r>
              <w:rPr>
                <w:rFonts w:ascii="Aptos" w:hAnsi="Aptos"/>
                <w:sz w:val="16"/>
              </w:rPr>
              <w:t>Remaining issues recorded with agreed disposition.</w:t>
            </w:r>
          </w:p>
        </w:tc>
        <w:tc>
          <w:tcPr>
            <w:tcW w:type="dxa" w:w="1728"/>
            <w:tcMar>
              <w:top w:w="80" w:type="dxa"/>
              <w:start w:w="100" w:type="dxa"/>
              <w:bottom w:w="80" w:type="dxa"/>
              <w:end w:w="100" w:type="dxa"/>
            </w:tcMar>
            <w:vAlign w:val="top"/>
            <w:shd w:fill="F7F9FC"/>
          </w:tcPr>
          <w:p>
            <w:r>
              <w:rPr>
                <w:rFonts w:ascii="Aptos" w:hAnsi="Aptos"/>
                <w:sz w:val="16"/>
              </w:rPr>
            </w:r>
          </w:p>
        </w:tc>
      </w:tr>
    </w:tbl>
    <w:p>
      <w:r>
        <w:t>Client acceptance representative: ______________________________</w:t>
      </w:r>
    </w:p>
    <w:p>
      <w:r>
        <w:t>Signature: __________________________________  Date: __________________</w:t>
      </w:r>
    </w:p>
    <w:p>
      <w:r>
        <w:t>Supplier representative: ______________________________________</w:t>
      </w:r>
    </w:p>
    <w:p>
      <w:r>
        <w:t>Signature: __________________________________  Date: __________________</w:t>
      </w:r>
    </w:p>
    <w:p>
      <w:pPr>
        <w:pStyle w:val="Heading1"/>
      </w:pPr>
      <w:r>
        <w:t>8. Direct-to-MX production gate</w:t>
      </w:r>
    </w:p>
    <w:p>
      <w:pPr>
        <w:pStyle w:val="ListBullet"/>
      </w:pPr>
      <w:r>
        <w:t>Confirm the hosting/network account permits production outbound SMTP on TCP/25 before treating the host as ready.</w:t>
      </w:r>
    </w:p>
    <w:p>
      <w:pPr>
        <w:pStyle w:val="ListBullet"/>
      </w:pPr>
      <w:r>
        <w:t>Assign the production sending hostname and static IP, configure matching PTR/rDNS, and verify forward DNS.</w:t>
      </w:r>
    </w:p>
    <w:p>
      <w:pPr>
        <w:pStyle w:val="ListBullet"/>
      </w:pPr>
      <w:r>
        <w:t>Publish and verify SPF, DKIM and DMARC for the intended sending/return-path domains.</w:t>
      </w:r>
    </w:p>
    <w:p>
      <w:pPr>
        <w:pStyle w:val="ListBullet"/>
      </w:pPr>
      <w:r>
        <w:t>Validate the MTA is not an open relay and that administrative/submission interfaces are not exposed unnecessarily.</w:t>
      </w:r>
    </w:p>
    <w:p>
      <w:pPr>
        <w:pStyle w:val="ListBullet"/>
      </w:pPr>
      <w:r>
        <w:t>Send controlled tests to multiple mailbox providers and verify Message-ID, DKIM, SPF/DMARC alignment, bounce routing and unsubscribe behavior.</w:t>
      </w:r>
    </w:p>
    <w:p>
      <w:pPr>
        <w:pStyle w:val="ListBullet"/>
      </w:pPr>
      <w:r>
        <w:t>Begin production with a conservative warm-up. Increase volume only when remote SMTP responses, bounce/complaint rates and reputation signals remain acceptable.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60"/>
      <w:gridCol w:w="3360"/>
      <w:gridCol w:w="3360"/>
    </w:tblGrid>
    <w:tr>
      <w:tc>
        <w:tcPr>
          <w:tcW w:type="dxa" w:w="3360"/>
        </w:tcPr>
        <w:p>
          <w:pPr>
            <w:jc w:val="left"/>
          </w:pPr>
          <w:r>
            <w:rPr>
              <w:rFonts w:ascii="Aptos" w:hAnsi="Aptos"/>
              <w:color w:val="666666"/>
              <w:sz w:val="16"/>
            </w:rPr>
            <w:t>Project Documentation</w:t>
          </w:r>
        </w:p>
      </w:tc>
      <w:tc>
        <w:tcPr>
          <w:tcW w:type="dxa" w:w="3360"/>
        </w:tcPr>
        <w:p>
          <w:pPr>
            <w:jc w:val="center"/>
          </w:pPr>
          <w:r>
            <w:rPr>
              <w:rFonts w:ascii="Aptos" w:hAnsi="Aptos"/>
              <w:color w:val="666666"/>
              <w:sz w:val="16"/>
            </w:rPr>
            <w:t>v0.3</w:t>
          </w:r>
        </w:p>
      </w:tc>
      <w:tc>
        <w:tcPr>
          <w:tcW w:type="dxa" w:w="3360"/>
        </w:tcPr>
        <w:p>
          <w:pPr>
            <w:jc w:val="right"/>
          </w:pPr>
          <w:r>
            <w:rPr>
              <w:rFonts w:ascii="Aptos" w:hAnsi="Aptos"/>
              <w:color w:val="666666"/>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7056"/>
      <w:gridCol w:w="3024"/>
    </w:tblGrid>
    <w:tr>
      <w:tc>
        <w:tcPr>
          <w:tcW w:type="dxa" w:w="5040"/>
        </w:tcPr>
        <w:p>
          <w:pPr>
            <w:jc w:val="left"/>
          </w:pPr>
          <w:r>
            <w:rPr>
              <w:rFonts w:ascii="Aptos" w:hAnsi="Aptos"/>
              <w:b/>
              <w:color w:val="17365D"/>
              <w:sz w:val="17"/>
            </w:rPr>
            <w:t>Email Marketing Platform</w:t>
          </w:r>
        </w:p>
      </w:tc>
      <w:tc>
        <w:tcPr>
          <w:tcW w:type="dxa" w:w="5040"/>
        </w:tcPr>
        <w:p>
          <w:pPr>
            <w:jc w:val="right"/>
          </w:pPr>
          <w:r>
            <w:rPr>
              <w:rFonts w:ascii="Aptos" w:hAnsi="Aptos"/>
              <w:color w:val="666666"/>
              <w:sz w:val="16"/>
            </w:rPr>
            <w:t>DOC-06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