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7365D"/>
          <w:sz w:val="52"/>
        </w:rPr>
        <w:t>Risk, Compliance &amp; Abuse-Control Requirements</w:t>
      </w:r>
    </w:p>
    <w:p>
      <w:pPr>
        <w:jc w:val="center"/>
      </w:pPr>
      <w:r>
        <w:rPr>
          <w:rFonts w:ascii="Aptos" w:hAnsi="Aptos"/>
          <w:color w:val="2F5597"/>
          <w:sz w:val="26"/>
        </w:rPr>
        <w:t>Self-Hosted Campaign Management &amp; Bulk Email Software</w:t>
      </w:r>
    </w:p>
    <w:p>
      <w:pPr>
        <w:spacing w:before="560"/>
        <w:jc w:val="center"/>
      </w:pPr>
      <w:r>
        <w:rPr>
          <w:rFonts w:ascii="Aptos" w:hAnsi="Aptos"/>
          <w:color w:val="666666"/>
          <w:sz w:val="20"/>
        </w:rPr>
        <w:t>Document code: DOC-07</w:t>
        <w:br/>
        <w:t>Version: 0.3</w:t>
        <w:br/>
        <w:t>Date: 20 September 2026</w:t>
      </w:r>
    </w:p>
    <w:p>
      <w:pPr>
        <w:spacing w:before="500"/>
        <w:jc w:val="center"/>
      </w:pPr>
      <w:r>
        <w:rPr>
          <w:rFonts w:ascii="Aptos" w:hAnsi="Aptos"/>
          <w:i/>
          <w:color w:val="666666"/>
          <w:sz w:val="18"/>
        </w:rPr>
        <w:t>Working title - replace with final product/client name during branding.</w:t>
      </w:r>
    </w:p>
    <w:p>
      <w:r>
        <w:br w:type="page"/>
      </w:r>
    </w:p>
    <w:tbl>
      <w:tblPr>
        <w:tblW w:type="auto" w:w="0"/>
        <w:jc w:val="center"/>
        <w:tblLook w:firstColumn="1" w:firstRow="1" w:lastColumn="0" w:lastRow="0" w:noHBand="0" w:noVBand="1" w:val="04A0"/>
      </w:tblPr>
      <w:tblGrid>
        <w:gridCol w:w="10080"/>
      </w:tblGrid>
      <w:tr>
        <w:tc>
          <w:tcPr>
            <w:tcW w:type="dxa" w:w="10080"/>
            <w:shd w:fill="D9E2F3"/>
            <w:tcMar>
              <w:top w:w="120" w:type="dxa"/>
              <w:start w:w="150" w:type="dxa"/>
              <w:bottom w:w="120" w:type="dxa"/>
              <w:end w:w="150" w:type="dxa"/>
            </w:tcMar>
          </w:tcPr>
          <w:p>
            <w:r>
              <w:rPr>
                <w:rFonts w:ascii="Aptos" w:hAnsi="Aptos"/>
                <w:b/>
                <w:color w:val="17365D"/>
              </w:rPr>
              <w:t>Important</w:t>
              <w:br/>
            </w:r>
            <w:r>
              <w:rPr>
                <w:rFonts w:ascii="Aptos" w:hAnsi="Aptos"/>
                <w:sz w:val="19"/>
              </w:rPr>
              <w:t>This document is a product/risk design aid and not legal advice. Applicable anti-spam, privacy, marketing and consumer-protection requirements depend on jurisdiction, recipients and use case. Qualified counsel should review the governing contract and client obligations before production use.</w:t>
            </w:r>
          </w:p>
        </w:tc>
      </w:tr>
    </w:tbl>
    <w:p>
      <w:pPr>
        <w:spacing w:after="0"/>
      </w:pPr>
    </w:p>
    <w:p>
      <w:pPr>
        <w:pStyle w:val="Heading1"/>
      </w:pPr>
      <w:r>
        <w:t>1. Responsibility model</w:t>
      </w:r>
    </w:p>
    <w:p>
      <w:r>
        <w:t>The intended deployment model separates software delivery from campaign operation. The client owns/controls production infrastructure, sending domain, static sending IP, MTA reputation, recipient data and campaign decisions after handover. The supplier provides the software and agreed implementation services but does not operate ongoing campaigns unless separately contracted.</w:t>
      </w:r>
    </w:p>
    <w:p>
      <w:pPr>
        <w:pStyle w:val="Heading1"/>
      </w:pPr>
      <w:r>
        <w:t>2. Product safeguards</w:t>
      </w:r>
    </w:p>
    <w:tbl>
      <w:tblPr>
        <w:tblStyle w:val="TableGrid"/>
        <w:tblW w:type="auto" w:w="0"/>
        <w:jc w:val="center"/>
        <w:tblLook w:firstColumn="1" w:firstRow="1" w:lastColumn="0" w:lastRow="0" w:noHBand="0" w:noVBand="1" w:val="04A0"/>
      </w:tblPr>
      <w:tblGrid>
        <w:gridCol w:w="2448"/>
        <w:gridCol w:w="7632"/>
      </w:tblGrid>
      <w:tr>
        <w:trPr>
          <w:tblHeader w:val="true"/>
        </w:trPr>
        <w:tc>
          <w:tcPr>
            <w:tcW w:type="dxa" w:w="5040"/>
            <w:shd w:fill="17365D"/>
            <w:tcMar>
              <w:top w:w="80" w:type="dxa"/>
              <w:start w:w="100" w:type="dxa"/>
              <w:bottom w:w="80" w:type="dxa"/>
              <w:end w:w="100" w:type="dxa"/>
            </w:tcMar>
          </w:tcPr>
          <w:p>
            <w:r>
              <w:rPr>
                <w:rFonts w:ascii="Aptos" w:hAnsi="Aptos"/>
                <w:b/>
                <w:color w:val="FFFFFF"/>
                <w:sz w:val="16"/>
              </w:rPr>
              <w:t>Control</w:t>
            </w:r>
          </w:p>
        </w:tc>
        <w:tc>
          <w:tcPr>
            <w:tcW w:type="dxa" w:w="5040"/>
            <w:shd w:fill="17365D"/>
            <w:tcMar>
              <w:top w:w="80" w:type="dxa"/>
              <w:start w:w="100" w:type="dxa"/>
              <w:bottom w:w="80" w:type="dxa"/>
              <w:end w:w="100" w:type="dxa"/>
            </w:tcMar>
          </w:tcPr>
          <w:p>
            <w:r>
              <w:rPr>
                <w:rFonts w:ascii="Aptos" w:hAnsi="Aptos"/>
                <w:b/>
                <w:color w:val="FFFFFF"/>
                <w:sz w:val="16"/>
              </w:rPr>
              <w:t>Required behavior</w:t>
            </w:r>
          </w:p>
        </w:tc>
      </w:tr>
      <w:tr>
        <w:tc>
          <w:tcPr>
            <w:tcW w:type="dxa" w:w="2448"/>
            <w:tcMar>
              <w:top w:w="80" w:type="dxa"/>
              <w:start w:w="100" w:type="dxa"/>
              <w:bottom w:w="80" w:type="dxa"/>
              <w:end w:w="100" w:type="dxa"/>
            </w:tcMar>
            <w:vAlign w:val="top"/>
          </w:tcPr>
          <w:p>
            <w:r>
              <w:rPr>
                <w:rFonts w:ascii="Aptos" w:hAnsi="Aptos"/>
                <w:sz w:val="16"/>
              </w:rPr>
              <w:t>Domain verification</w:t>
            </w:r>
          </w:p>
        </w:tc>
        <w:tc>
          <w:tcPr>
            <w:tcW w:type="dxa" w:w="7632"/>
            <w:tcMar>
              <w:top w:w="80" w:type="dxa"/>
              <w:start w:w="100" w:type="dxa"/>
              <w:bottom w:w="80" w:type="dxa"/>
              <w:end w:w="100" w:type="dxa"/>
            </w:tcMar>
            <w:vAlign w:val="top"/>
          </w:tcPr>
          <w:p>
            <w:r>
              <w:rPr>
                <w:rFonts w:ascii="Aptos" w:hAnsi="Aptos"/>
                <w:sz w:val="16"/>
              </w:rPr>
              <w:t>Marketing sending is enabled only for a domain/subdomain the client can verify/control.</w:t>
            </w:r>
          </w:p>
        </w:tc>
      </w:tr>
      <w:tr>
        <w:tc>
          <w:tcPr>
            <w:tcW w:type="dxa" w:w="2448"/>
            <w:tcMar>
              <w:top w:w="80" w:type="dxa"/>
              <w:start w:w="100" w:type="dxa"/>
              <w:bottom w:w="80" w:type="dxa"/>
              <w:end w:w="100" w:type="dxa"/>
            </w:tcMar>
            <w:vAlign w:val="top"/>
            <w:shd w:fill="F7F9FC"/>
          </w:tcPr>
          <w:p>
            <w:r>
              <w:rPr>
                <w:rFonts w:ascii="Aptos" w:hAnsi="Aptos"/>
                <w:sz w:val="16"/>
              </w:rPr>
              <w:t>Unsubscribe</w:t>
            </w:r>
          </w:p>
        </w:tc>
        <w:tc>
          <w:tcPr>
            <w:tcW w:type="dxa" w:w="7632"/>
            <w:tcMar>
              <w:top w:w="80" w:type="dxa"/>
              <w:start w:w="100" w:type="dxa"/>
              <w:bottom w:w="80" w:type="dxa"/>
              <w:end w:w="100" w:type="dxa"/>
            </w:tcMar>
            <w:vAlign w:val="top"/>
            <w:shd w:fill="F7F9FC"/>
          </w:tcPr>
          <w:p>
            <w:r>
              <w:rPr>
                <w:rFonts w:ascii="Aptos" w:hAnsi="Aptos"/>
                <w:sz w:val="16"/>
              </w:rPr>
              <w:t>Marketing emails include an unsubscribe mechanism that cannot be silently disabled.</w:t>
            </w:r>
          </w:p>
        </w:tc>
      </w:tr>
      <w:tr>
        <w:tc>
          <w:tcPr>
            <w:tcW w:type="dxa" w:w="2448"/>
            <w:tcMar>
              <w:top w:w="80" w:type="dxa"/>
              <w:start w:w="100" w:type="dxa"/>
              <w:bottom w:w="80" w:type="dxa"/>
              <w:end w:w="100" w:type="dxa"/>
            </w:tcMar>
            <w:vAlign w:val="top"/>
          </w:tcPr>
          <w:p>
            <w:r>
              <w:rPr>
                <w:rFonts w:ascii="Aptos" w:hAnsi="Aptos"/>
                <w:sz w:val="16"/>
              </w:rPr>
              <w:t>Suppression</w:t>
            </w:r>
          </w:p>
        </w:tc>
        <w:tc>
          <w:tcPr>
            <w:tcW w:type="dxa" w:w="7632"/>
            <w:tcMar>
              <w:top w:w="80" w:type="dxa"/>
              <w:start w:w="100" w:type="dxa"/>
              <w:bottom w:w="80" w:type="dxa"/>
              <w:end w:w="100" w:type="dxa"/>
            </w:tcMar>
            <w:vAlign w:val="top"/>
          </w:tcPr>
          <w:p>
            <w:r>
              <w:rPr>
                <w:rFonts w:ascii="Aptos" w:hAnsi="Aptos"/>
                <w:sz w:val="16"/>
              </w:rPr>
              <w:t>Unsubscribed, complained and hard-bounced recipients are excluded from future marketing sends.</w:t>
            </w:r>
          </w:p>
        </w:tc>
      </w:tr>
      <w:tr>
        <w:tc>
          <w:tcPr>
            <w:tcW w:type="dxa" w:w="2448"/>
            <w:tcMar>
              <w:top w:w="80" w:type="dxa"/>
              <w:start w:w="100" w:type="dxa"/>
              <w:bottom w:w="80" w:type="dxa"/>
              <w:end w:w="100" w:type="dxa"/>
            </w:tcMar>
            <w:vAlign w:val="top"/>
            <w:shd w:fill="F7F9FC"/>
          </w:tcPr>
          <w:p>
            <w:r>
              <w:rPr>
                <w:rFonts w:ascii="Aptos" w:hAnsi="Aptos"/>
                <w:sz w:val="16"/>
              </w:rPr>
              <w:t>Double-check before send</w:t>
            </w:r>
          </w:p>
        </w:tc>
        <w:tc>
          <w:tcPr>
            <w:tcW w:type="dxa" w:w="7632"/>
            <w:tcMar>
              <w:top w:w="80" w:type="dxa"/>
              <w:start w:w="100" w:type="dxa"/>
              <w:bottom w:w="80" w:type="dxa"/>
              <w:end w:w="100" w:type="dxa"/>
            </w:tcMar>
            <w:vAlign w:val="top"/>
            <w:shd w:fill="F7F9FC"/>
          </w:tcPr>
          <w:p>
            <w:r>
              <w:rPr>
                <w:rFonts w:ascii="Aptos" w:hAnsi="Aptos"/>
                <w:sz w:val="16"/>
              </w:rPr>
              <w:t>Suppression status is checked at recipient preparation and immediately before delivery.</w:t>
            </w:r>
          </w:p>
        </w:tc>
      </w:tr>
      <w:tr>
        <w:tc>
          <w:tcPr>
            <w:tcW w:type="dxa" w:w="2448"/>
            <w:tcMar>
              <w:top w:w="80" w:type="dxa"/>
              <w:start w:w="100" w:type="dxa"/>
              <w:bottom w:w="80" w:type="dxa"/>
              <w:end w:w="100" w:type="dxa"/>
            </w:tcMar>
            <w:vAlign w:val="top"/>
          </w:tcPr>
          <w:p>
            <w:r>
              <w:rPr>
                <w:rFonts w:ascii="Aptos" w:hAnsi="Aptos"/>
                <w:sz w:val="16"/>
              </w:rPr>
              <w:t>Bounce handling</w:t>
            </w:r>
          </w:p>
        </w:tc>
        <w:tc>
          <w:tcPr>
            <w:tcW w:type="dxa" w:w="7632"/>
            <w:tcMar>
              <w:top w:w="80" w:type="dxa"/>
              <w:start w:w="100" w:type="dxa"/>
              <w:bottom w:w="80" w:type="dxa"/>
              <w:end w:w="100" w:type="dxa"/>
            </w:tcMar>
            <w:vAlign w:val="top"/>
          </w:tcPr>
          <w:p>
            <w:r>
              <w:rPr>
                <w:rFonts w:ascii="Aptos" w:hAnsi="Aptos"/>
                <w:sz w:val="16"/>
              </w:rPr>
              <w:t>Permanent bounces suppress; transient failures follow bounded retry policy.</w:t>
            </w:r>
          </w:p>
        </w:tc>
      </w:tr>
      <w:tr>
        <w:tc>
          <w:tcPr>
            <w:tcW w:type="dxa" w:w="2448"/>
            <w:tcMar>
              <w:top w:w="80" w:type="dxa"/>
              <w:start w:w="100" w:type="dxa"/>
              <w:bottom w:w="80" w:type="dxa"/>
              <w:end w:w="100" w:type="dxa"/>
            </w:tcMar>
            <w:vAlign w:val="top"/>
            <w:shd w:fill="F7F9FC"/>
          </w:tcPr>
          <w:p>
            <w:r>
              <w:t>Complaint handling</w:t>
            </w:r>
          </w:p>
        </w:tc>
        <w:tc>
          <w:tcPr>
            <w:tcW w:type="dxa" w:w="7632"/>
            <w:tcMar>
              <w:top w:w="80" w:type="dxa"/>
              <w:start w:w="100" w:type="dxa"/>
              <w:bottom w:w="80" w:type="dxa"/>
              <w:end w:w="100" w:type="dxa"/>
            </w:tcMar>
            <w:vAlign w:val="top"/>
            <w:shd w:fill="F7F9FC"/>
          </w:tcPr>
          <w:p>
            <w:r>
              <w:t>Available ARF/FBL complaint feedback immediately suppresses future marketing sends; mailbox providers without feedback feeds require reputation monitoring.</w:t>
            </w:r>
          </w:p>
        </w:tc>
      </w:tr>
      <w:tr>
        <w:tc>
          <w:tcPr>
            <w:tcW w:type="dxa" w:w="2448"/>
            <w:tcMar>
              <w:top w:w="80" w:type="dxa"/>
              <w:start w:w="100" w:type="dxa"/>
              <w:bottom w:w="80" w:type="dxa"/>
              <w:end w:w="100" w:type="dxa"/>
            </w:tcMar>
            <w:vAlign w:val="top"/>
          </w:tcPr>
          <w:p>
            <w:r>
              <w:rPr>
                <w:rFonts w:ascii="Aptos" w:hAnsi="Aptos"/>
                <w:sz w:val="16"/>
              </w:rPr>
              <w:t>Rate limits</w:t>
            </w:r>
          </w:p>
        </w:tc>
        <w:tc>
          <w:tcPr>
            <w:tcW w:type="dxa" w:w="7632"/>
            <w:tcMar>
              <w:top w:w="80" w:type="dxa"/>
              <w:start w:w="100" w:type="dxa"/>
              <w:bottom w:w="80" w:type="dxa"/>
              <w:end w:w="100" w:type="dxa"/>
            </w:tcMar>
            <w:vAlign w:val="top"/>
          </w:tcPr>
          <w:p>
            <w:r>
              <w:rPr>
                <w:rFonts w:ascii="Aptos" w:hAnsi="Aptos"/>
                <w:sz w:val="16"/>
              </w:rPr>
              <w:t>Admin-defined daily/hourly/per-second limits prevent accidental uncontrolled sending.</w:t>
            </w:r>
          </w:p>
        </w:tc>
      </w:tr>
      <w:tr>
        <w:tc>
          <w:tcPr>
            <w:tcW w:type="dxa" w:w="2448"/>
            <w:tcMar>
              <w:top w:w="80" w:type="dxa"/>
              <w:start w:w="100" w:type="dxa"/>
              <w:bottom w:w="80" w:type="dxa"/>
              <w:end w:w="100" w:type="dxa"/>
            </w:tcMar>
            <w:vAlign w:val="top"/>
            <w:shd w:fill="F7F9FC"/>
          </w:tcPr>
          <w:p>
            <w:r>
              <w:rPr>
                <w:rFonts w:ascii="Aptos" w:hAnsi="Aptos"/>
                <w:sz w:val="16"/>
              </w:rPr>
              <w:t>Audit trail</w:t>
            </w:r>
          </w:p>
        </w:tc>
        <w:tc>
          <w:tcPr>
            <w:tcW w:type="dxa" w:w="7632"/>
            <w:tcMar>
              <w:top w:w="80" w:type="dxa"/>
              <w:start w:w="100" w:type="dxa"/>
              <w:bottom w:w="80" w:type="dxa"/>
              <w:end w:w="100" w:type="dxa"/>
            </w:tcMar>
            <w:vAlign w:val="top"/>
            <w:shd w:fill="F7F9FC"/>
          </w:tcPr>
          <w:p>
            <w:r>
              <w:rPr>
                <w:rFonts w:ascii="Aptos" w:hAnsi="Aptos"/>
                <w:sz w:val="16"/>
              </w:rPr>
              <w:t>Imports, campaign launch, configuration changes and suppression events are recorded.</w:t>
            </w:r>
          </w:p>
        </w:tc>
      </w:tr>
      <w:tr>
        <w:tc>
          <w:tcPr>
            <w:tcW w:type="dxa" w:w="2448"/>
            <w:tcMar>
              <w:top w:w="80" w:type="dxa"/>
              <w:start w:w="100" w:type="dxa"/>
              <w:bottom w:w="80" w:type="dxa"/>
              <w:end w:w="100" w:type="dxa"/>
            </w:tcMar>
            <w:vAlign w:val="top"/>
          </w:tcPr>
          <w:p>
            <w:r>
              <w:rPr>
                <w:rFonts w:ascii="Aptos" w:hAnsi="Aptos"/>
                <w:sz w:val="16"/>
              </w:rPr>
              <w:t>Import traceability</w:t>
            </w:r>
          </w:p>
        </w:tc>
        <w:tc>
          <w:tcPr>
            <w:tcW w:type="dxa" w:w="7632"/>
            <w:tcMar>
              <w:top w:w="80" w:type="dxa"/>
              <w:start w:w="100" w:type="dxa"/>
              <w:bottom w:w="80" w:type="dxa"/>
              <w:end w:w="100" w:type="dxa"/>
            </w:tcMar>
            <w:vAlign w:val="top"/>
          </w:tcPr>
          <w:p>
            <w:r>
              <w:rPr>
                <w:rFonts w:ascii="Aptos" w:hAnsi="Aptos"/>
                <w:sz w:val="16"/>
              </w:rPr>
              <w:t>Import source/file metadata and result counts are recorded for operational review.</w:t>
            </w:r>
          </w:p>
        </w:tc>
      </w:tr>
    </w:tbl>
    <w:p>
      <w:pPr>
        <w:pStyle w:val="Heading1"/>
      </w:pPr>
      <w:r>
        <w:t>3. Client operating responsibilities after handover</w:t>
      </w:r>
    </w:p>
    <w:p>
      <w:pPr>
        <w:pStyle w:val="ListBullet"/>
        <w:spacing w:after="40"/>
      </w:pPr>
      <w:r>
        <w:rPr>
          <w:rFonts w:ascii="Aptos" w:hAnsi="Aptos"/>
        </w:rPr>
        <w:t>Maintain the legality/authorization of recipient lists and campaign content.</w:t>
      </w:r>
    </w:p>
    <w:p>
      <w:pPr>
        <w:pStyle w:val="ListBullet"/>
        <w:spacing w:after="40"/>
      </w:pPr>
      <w:r>
        <w:rPr>
          <w:rFonts w:ascii="Aptos" w:hAnsi="Aptos"/>
        </w:rPr>
        <w:t>Maintain required sender identification and unsubscribe information.</w:t>
      </w:r>
    </w:p>
    <w:p>
      <w:pPr>
        <w:pStyle w:val="ListBullet"/>
        <w:spacing w:after="40"/>
      </w:pPr>
      <w:r>
        <w:t>Monitor complaints, bounces, remote SMTP deferrals/rejections, IP/domain reputation and blocklist/postmaster signals.</w:t>
      </w:r>
    </w:p>
    <w:p>
      <w:pPr>
        <w:pStyle w:val="ListBullet"/>
        <w:spacing w:after="40"/>
      </w:pPr>
      <w:r>
        <w:t>Comply with hosting/network acceptable-use requirements and mailbox-provider anti-abuse expectations.</w:t>
      </w:r>
    </w:p>
    <w:p>
      <w:pPr>
        <w:pStyle w:val="ListBullet"/>
        <w:spacing w:after="40"/>
      </w:pPr>
      <w:r>
        <w:rPr>
          <w:rFonts w:ascii="Aptos" w:hAnsi="Aptos"/>
        </w:rPr>
        <w:t>Keep infrastructure, credentials, backups and software dependencies appropriately maintained.</w:t>
      </w:r>
    </w:p>
    <w:p>
      <w:pPr>
        <w:pStyle w:val="ListBullet"/>
        <w:spacing w:after="40"/>
      </w:pPr>
      <w:r>
        <w:rPr>
          <w:rFonts w:ascii="Aptos" w:hAnsi="Aptos"/>
        </w:rPr>
        <w:t>Respond to recipient complaints and abuse reports associated with its campaigns.</w:t>
      </w:r>
    </w:p>
    <w:p>
      <w:pPr>
        <w:pStyle w:val="Heading1"/>
      </w:pPr>
      <w:r>
        <w:t>4. Risk register</w:t>
      </w:r>
    </w:p>
    <w:tbl>
      <w:tblPr>
        <w:tblStyle w:val="TableGrid"/>
        <w:tblW w:type="auto" w:w="0"/>
        <w:jc w:val="center"/>
        <w:tblLook w:firstColumn="1" w:firstRow="1" w:lastColumn="0" w:lastRow="0" w:noHBand="0" w:noVBand="1" w:val="04A0"/>
      </w:tblPr>
      <w:tblGrid>
        <w:gridCol w:w="2592"/>
        <w:gridCol w:w="2448"/>
        <w:gridCol w:w="5040"/>
      </w:tblGrid>
      <w:tr>
        <w:trPr>
          <w:tblHeader w:val="true"/>
        </w:trPr>
        <w:tc>
          <w:tcPr>
            <w:tcW w:type="dxa" w:w="3360"/>
            <w:shd w:fill="17365D"/>
            <w:tcMar>
              <w:top w:w="80" w:type="dxa"/>
              <w:start w:w="100" w:type="dxa"/>
              <w:bottom w:w="80" w:type="dxa"/>
              <w:end w:w="100" w:type="dxa"/>
            </w:tcMar>
          </w:tcPr>
          <w:p>
            <w:r>
              <w:rPr>
                <w:rFonts w:ascii="Aptos" w:hAnsi="Aptos"/>
                <w:b/>
                <w:color w:val="FFFFFF"/>
                <w:sz w:val="15"/>
              </w:rPr>
              <w:t>Risk</w:t>
            </w:r>
          </w:p>
        </w:tc>
        <w:tc>
          <w:tcPr>
            <w:tcW w:type="dxa" w:w="3360"/>
            <w:shd w:fill="17365D"/>
            <w:tcMar>
              <w:top w:w="80" w:type="dxa"/>
              <w:start w:w="100" w:type="dxa"/>
              <w:bottom w:w="80" w:type="dxa"/>
              <w:end w:w="100" w:type="dxa"/>
            </w:tcMar>
          </w:tcPr>
          <w:p>
            <w:r>
              <w:rPr>
                <w:rFonts w:ascii="Aptos" w:hAnsi="Aptos"/>
                <w:b/>
                <w:color w:val="FFFFFF"/>
                <w:sz w:val="15"/>
              </w:rPr>
              <w:t>Impact</w:t>
            </w:r>
          </w:p>
        </w:tc>
        <w:tc>
          <w:tcPr>
            <w:tcW w:type="dxa" w:w="3360"/>
            <w:shd w:fill="17365D"/>
            <w:tcMar>
              <w:top w:w="80" w:type="dxa"/>
              <w:start w:w="100" w:type="dxa"/>
              <w:bottom w:w="80" w:type="dxa"/>
              <w:end w:w="100" w:type="dxa"/>
            </w:tcMar>
          </w:tcPr>
          <w:p>
            <w:r>
              <w:rPr>
                <w:rFonts w:ascii="Aptos" w:hAnsi="Aptos"/>
                <w:b/>
                <w:color w:val="FFFFFF"/>
                <w:sz w:val="15"/>
              </w:rPr>
              <w:t>Mitigation / design response</w:t>
            </w:r>
          </w:p>
        </w:tc>
      </w:tr>
      <w:tr>
        <w:tc>
          <w:tcPr>
            <w:tcW w:type="dxa" w:w="2592"/>
            <w:tcMar>
              <w:top w:w="80" w:type="dxa"/>
              <w:start w:w="100" w:type="dxa"/>
              <w:bottom w:w="80" w:type="dxa"/>
              <w:end w:w="100" w:type="dxa"/>
            </w:tcMar>
            <w:vAlign w:val="top"/>
          </w:tcPr>
          <w:p>
            <w:r>
              <w:t>Unauthorized or poor-quality lists</w:t>
            </w:r>
          </w:p>
        </w:tc>
        <w:tc>
          <w:tcPr>
            <w:tcW w:type="dxa" w:w="2448"/>
            <w:tcMar>
              <w:top w:w="80" w:type="dxa"/>
              <w:start w:w="100" w:type="dxa"/>
              <w:bottom w:w="80" w:type="dxa"/>
              <w:end w:w="100" w:type="dxa"/>
            </w:tcMar>
            <w:vAlign w:val="top"/>
          </w:tcPr>
          <w:p>
            <w:r>
              <w:t>Complaints, legal/network exposure, poor reputation</w:t>
            </w:r>
          </w:p>
        </w:tc>
        <w:tc>
          <w:tcPr>
            <w:tcW w:type="dxa" w:w="5040"/>
            <w:tcMar>
              <w:top w:w="80" w:type="dxa"/>
              <w:start w:w="100" w:type="dxa"/>
              <w:bottom w:w="80" w:type="dxa"/>
              <w:end w:w="100" w:type="dxa"/>
            </w:tcMar>
            <w:vAlign w:val="top"/>
          </w:tcPr>
          <w:p>
            <w:r>
              <w:t>Client responsibility + import traceability + mandatory suppression/unsubscribe controls.</w:t>
            </w:r>
          </w:p>
        </w:tc>
      </w:tr>
      <w:tr>
        <w:tc>
          <w:tcPr>
            <w:tcW w:type="dxa" w:w="2592"/>
            <w:tcMar>
              <w:top w:w="80" w:type="dxa"/>
              <w:start w:w="100" w:type="dxa"/>
              <w:bottom w:w="80" w:type="dxa"/>
              <w:end w:w="100" w:type="dxa"/>
            </w:tcMar>
            <w:vAlign w:val="top"/>
            <w:shd w:fill="F7F9FC"/>
          </w:tcPr>
          <w:p>
            <w:r>
              <w:t>One campaign overloads remote receivers or harms reputation</w:t>
            </w:r>
          </w:p>
        </w:tc>
        <w:tc>
          <w:tcPr>
            <w:tcW w:type="dxa" w:w="2448"/>
            <w:tcMar>
              <w:top w:w="80" w:type="dxa"/>
              <w:start w:w="100" w:type="dxa"/>
              <w:bottom w:w="80" w:type="dxa"/>
              <w:end w:w="100" w:type="dxa"/>
            </w:tcMar>
            <w:vAlign w:val="top"/>
            <w:shd w:fill="F7F9FC"/>
          </w:tcPr>
          <w:p>
            <w:r>
              <w:t>Deferrals, blocks or spam-folder placement</w:t>
            </w:r>
          </w:p>
        </w:tc>
        <w:tc>
          <w:tcPr>
            <w:tcW w:type="dxa" w:w="5040"/>
            <w:tcMar>
              <w:top w:w="80" w:type="dxa"/>
              <w:start w:w="100" w:type="dxa"/>
              <w:bottom w:w="80" w:type="dxa"/>
              <w:end w:w="100" w:type="dxa"/>
            </w:tcMar>
            <w:vAlign w:val="top"/>
            <w:shd w:fill="F7F9FC"/>
          </w:tcPr>
          <w:p>
            <w:r>
              <w:t>Destination-aware throttling, daily caps, queue backpressure, warm-up and pause capability.</w:t>
            </w:r>
          </w:p>
        </w:tc>
      </w:tr>
      <w:tr>
        <w:tc>
          <w:tcPr>
            <w:tcW w:type="dxa" w:w="2592"/>
            <w:tcMar>
              <w:top w:w="80" w:type="dxa"/>
              <w:start w:w="100" w:type="dxa"/>
              <w:bottom w:w="80" w:type="dxa"/>
              <w:end w:w="100" w:type="dxa"/>
            </w:tcMar>
            <w:vAlign w:val="top"/>
          </w:tcPr>
          <w:p>
            <w:r>
              <w:rPr>
                <w:rFonts w:ascii="Aptos" w:hAnsi="Aptos"/>
                <w:sz w:val="15"/>
              </w:rPr>
              <w:t>Credential compromise</w:t>
            </w:r>
          </w:p>
        </w:tc>
        <w:tc>
          <w:tcPr>
            <w:tcW w:type="dxa" w:w="2448"/>
            <w:tcMar>
              <w:top w:w="80" w:type="dxa"/>
              <w:start w:w="100" w:type="dxa"/>
              <w:bottom w:w="80" w:type="dxa"/>
              <w:end w:w="100" w:type="dxa"/>
            </w:tcMar>
            <w:vAlign w:val="top"/>
          </w:tcPr>
          <w:p>
            <w:r>
              <w:rPr>
                <w:rFonts w:ascii="Aptos" w:hAnsi="Aptos"/>
                <w:sz w:val="15"/>
              </w:rPr>
              <w:t>Unauthorized sending/data access</w:t>
            </w:r>
          </w:p>
        </w:tc>
        <w:tc>
          <w:tcPr>
            <w:tcW w:type="dxa" w:w="5040"/>
            <w:tcMar>
              <w:top w:w="80" w:type="dxa"/>
              <w:start w:w="100" w:type="dxa"/>
              <w:bottom w:w="80" w:type="dxa"/>
              <w:end w:w="100" w:type="dxa"/>
            </w:tcMar>
            <w:vAlign w:val="top"/>
          </w:tcPr>
          <w:p>
            <w:r>
              <w:rPr>
                <w:rFonts w:ascii="Aptos" w:hAnsi="Aptos"/>
                <w:sz w:val="15"/>
              </w:rPr>
              <w:t>Secret management, TLS, least privilege, post-handover rotation and audit logs.</w:t>
            </w:r>
          </w:p>
        </w:tc>
      </w:tr>
      <w:tr>
        <w:tc>
          <w:tcPr>
            <w:tcW w:type="dxa" w:w="2592"/>
            <w:tcMar>
              <w:top w:w="80" w:type="dxa"/>
              <w:start w:w="100" w:type="dxa"/>
              <w:bottom w:w="80" w:type="dxa"/>
              <w:end w:w="100" w:type="dxa"/>
            </w:tcMar>
            <w:vAlign w:val="top"/>
            <w:shd w:fill="F7F9FC"/>
          </w:tcPr>
          <w:p>
            <w:r>
              <w:t>Bounce/feedback spoofing</w:t>
            </w:r>
          </w:p>
        </w:tc>
        <w:tc>
          <w:tcPr>
            <w:tcW w:type="dxa" w:w="2448"/>
            <w:tcMar>
              <w:top w:w="80" w:type="dxa"/>
              <w:start w:w="100" w:type="dxa"/>
              <w:bottom w:w="80" w:type="dxa"/>
              <w:end w:w="100" w:type="dxa"/>
            </w:tcMar>
            <w:vAlign w:val="top"/>
            <w:shd w:fill="F7F9FC"/>
          </w:tcPr>
          <w:p>
            <w:r>
              <w:t>False delivery/suppression events</w:t>
            </w:r>
          </w:p>
        </w:tc>
        <w:tc>
          <w:tcPr>
            <w:tcW w:type="dxa" w:w="5040"/>
            <w:tcMar>
              <w:top w:w="80" w:type="dxa"/>
              <w:start w:w="100" w:type="dxa"/>
              <w:bottom w:w="80" w:type="dxa"/>
              <w:end w:w="100" w:type="dxa"/>
            </w:tcMar>
            <w:vAlign w:val="top"/>
            <w:shd w:fill="F7F9FC"/>
          </w:tcPr>
          <w:p>
            <w:r>
              <w:t>Controlled bounce routes, defensive parsing, authenticated external feedback endpoints and idempotency.</w:t>
            </w:r>
          </w:p>
        </w:tc>
      </w:tr>
      <w:tr>
        <w:tc>
          <w:tcPr>
            <w:tcW w:type="dxa" w:w="2592"/>
            <w:tcMar>
              <w:top w:w="80" w:type="dxa"/>
              <w:start w:w="100" w:type="dxa"/>
              <w:bottom w:w="80" w:type="dxa"/>
              <w:end w:w="100" w:type="dxa"/>
            </w:tcMar>
            <w:vAlign w:val="top"/>
          </w:tcPr>
          <w:p>
            <w:r>
              <w:rPr>
                <w:rFonts w:ascii="Aptos" w:hAnsi="Aptos"/>
                <w:sz w:val="15"/>
              </w:rPr>
              <w:t>Duplicate delivery after failure</w:t>
            </w:r>
          </w:p>
        </w:tc>
        <w:tc>
          <w:tcPr>
            <w:tcW w:type="dxa" w:w="2448"/>
            <w:tcMar>
              <w:top w:w="80" w:type="dxa"/>
              <w:start w:w="100" w:type="dxa"/>
              <w:bottom w:w="80" w:type="dxa"/>
              <w:end w:w="100" w:type="dxa"/>
            </w:tcMar>
            <w:vAlign w:val="top"/>
          </w:tcPr>
          <w:p>
            <w:r>
              <w:rPr>
                <w:rFonts w:ascii="Aptos" w:hAnsi="Aptos"/>
                <w:sz w:val="15"/>
              </w:rPr>
              <w:t>Recipient harm/reputation</w:t>
            </w:r>
          </w:p>
        </w:tc>
        <w:tc>
          <w:tcPr>
            <w:tcW w:type="dxa" w:w="5040"/>
            <w:tcMar>
              <w:top w:w="80" w:type="dxa"/>
              <w:start w:w="100" w:type="dxa"/>
              <w:bottom w:w="80" w:type="dxa"/>
              <w:end w:w="100" w:type="dxa"/>
            </w:tcMar>
            <w:vAlign w:val="top"/>
          </w:tcPr>
          <w:p>
            <w:r>
              <w:rPr>
                <w:rFonts w:ascii="Aptos" w:hAnsi="Aptos"/>
                <w:sz w:val="15"/>
              </w:rPr>
              <w:t>Idempotent recipient jobs and durable campaign-recipient status.</w:t>
            </w:r>
          </w:p>
        </w:tc>
      </w:tr>
      <w:tr>
        <w:tc>
          <w:tcPr>
            <w:tcW w:type="dxa" w:w="2592"/>
            <w:tcMar>
              <w:top w:w="80" w:type="dxa"/>
              <w:start w:w="100" w:type="dxa"/>
              <w:bottom w:w="80" w:type="dxa"/>
              <w:end w:w="100" w:type="dxa"/>
            </w:tcMar>
            <w:vAlign w:val="top"/>
            <w:shd w:fill="F7F9FC"/>
          </w:tcPr>
          <w:p>
            <w:r>
              <w:rPr>
                <w:rFonts w:ascii="Aptos" w:hAnsi="Aptos"/>
                <w:sz w:val="15"/>
              </w:rPr>
              <w:t>Backup failure</w:t>
            </w:r>
          </w:p>
        </w:tc>
        <w:tc>
          <w:tcPr>
            <w:tcW w:type="dxa" w:w="2448"/>
            <w:tcMar>
              <w:top w:w="80" w:type="dxa"/>
              <w:start w:w="100" w:type="dxa"/>
              <w:bottom w:w="80" w:type="dxa"/>
              <w:end w:w="100" w:type="dxa"/>
            </w:tcMar>
            <w:vAlign w:val="top"/>
            <w:shd w:fill="F7F9FC"/>
          </w:tcPr>
          <w:p>
            <w:r>
              <w:rPr>
                <w:rFonts w:ascii="Aptos" w:hAnsi="Aptos"/>
                <w:sz w:val="15"/>
              </w:rPr>
              <w:t>Data loss</w:t>
            </w:r>
          </w:p>
        </w:tc>
        <w:tc>
          <w:tcPr>
            <w:tcW w:type="dxa" w:w="5040"/>
            <w:tcMar>
              <w:top w:w="80" w:type="dxa"/>
              <w:start w:w="100" w:type="dxa"/>
              <w:bottom w:w="80" w:type="dxa"/>
              <w:end w:w="100" w:type="dxa"/>
            </w:tcMar>
            <w:vAlign w:val="top"/>
            <w:shd w:fill="F7F9FC"/>
          </w:tcPr>
          <w:p>
            <w:r>
              <w:rPr>
                <w:rFonts w:ascii="Aptos" w:hAnsi="Aptos"/>
                <w:sz w:val="15"/>
              </w:rPr>
              <w:t>Documented automated backups plus restore test before acceptance.</w:t>
            </w:r>
          </w:p>
        </w:tc>
      </w:tr>
      <w:tr>
        <w:tc>
          <w:tcPr>
            <w:tcW w:type="dxa" w:w="2592"/>
            <w:tcMar>
              <w:top w:w="80" w:type="dxa"/>
              <w:start w:w="100" w:type="dxa"/>
              <w:bottom w:w="80" w:type="dxa"/>
              <w:end w:w="100" w:type="dxa"/>
            </w:tcMar>
            <w:vAlign w:val="top"/>
          </w:tcPr>
          <w:p>
            <w:r>
              <w:rPr>
                <w:rFonts w:ascii="Aptos" w:hAnsi="Aptos"/>
                <w:sz w:val="15"/>
              </w:rPr>
              <w:t>Supplier retains excessive access</w:t>
            </w:r>
          </w:p>
        </w:tc>
        <w:tc>
          <w:tcPr>
            <w:tcW w:type="dxa" w:w="2448"/>
            <w:tcMar>
              <w:top w:w="80" w:type="dxa"/>
              <w:start w:w="100" w:type="dxa"/>
              <w:bottom w:w="80" w:type="dxa"/>
              <w:end w:w="100" w:type="dxa"/>
            </w:tcMar>
            <w:vAlign w:val="top"/>
          </w:tcPr>
          <w:p>
            <w:r>
              <w:rPr>
                <w:rFonts w:ascii="Aptos" w:hAnsi="Aptos"/>
                <w:sz w:val="15"/>
              </w:rPr>
              <w:t>Blurred responsibility/security risk</w:t>
            </w:r>
          </w:p>
        </w:tc>
        <w:tc>
          <w:tcPr>
            <w:tcW w:type="dxa" w:w="5040"/>
            <w:tcMar>
              <w:top w:w="80" w:type="dxa"/>
              <w:start w:w="100" w:type="dxa"/>
              <w:bottom w:w="80" w:type="dxa"/>
              <w:end w:w="100" w:type="dxa"/>
            </w:tcMar>
            <w:vAlign w:val="top"/>
          </w:tcPr>
          <w:p>
            <w:r>
              <w:rPr>
                <w:rFonts w:ascii="Aptos" w:hAnsi="Aptos"/>
                <w:sz w:val="15"/>
              </w:rPr>
              <w:t>Client-owned accounts; revoke/rotate supplier access at handover.</w:t>
            </w:r>
          </w:p>
        </w:tc>
      </w:tr>
      <w:tr>
        <w:tc>
          <w:tcPr>
            <w:tcW w:type="dxa" w:w="2592"/>
            <w:tcMar>
              <w:top w:w="80" w:type="dxa"/>
              <w:start w:w="100" w:type="dxa"/>
              <w:bottom w:w="80" w:type="dxa"/>
              <w:end w:w="100" w:type="dxa"/>
            </w:tcMar>
            <w:vAlign w:val="top"/>
            <w:shd w:fill="F7F9FC"/>
          </w:tcPr>
          <w:p>
            <w:r>
              <w:rPr>
                <w:rFonts w:ascii="Aptos" w:hAnsi="Aptos"/>
                <w:sz w:val="15"/>
              </w:rPr>
              <w:t>Unclear contractual responsibility</w:t>
            </w:r>
          </w:p>
        </w:tc>
        <w:tc>
          <w:tcPr>
            <w:tcW w:type="dxa" w:w="2448"/>
            <w:tcMar>
              <w:top w:w="80" w:type="dxa"/>
              <w:start w:w="100" w:type="dxa"/>
              <w:bottom w:w="80" w:type="dxa"/>
              <w:end w:w="100" w:type="dxa"/>
            </w:tcMar>
            <w:vAlign w:val="top"/>
            <w:shd w:fill="F7F9FC"/>
          </w:tcPr>
          <w:p>
            <w:r>
              <w:rPr>
                <w:rFonts w:ascii="Aptos" w:hAnsi="Aptos"/>
                <w:sz w:val="15"/>
              </w:rPr>
              <w:t>Commercial/legal disputes</w:t>
            </w:r>
          </w:p>
        </w:tc>
        <w:tc>
          <w:tcPr>
            <w:tcW w:type="dxa" w:w="5040"/>
            <w:tcMar>
              <w:top w:w="80" w:type="dxa"/>
              <w:start w:w="100" w:type="dxa"/>
              <w:bottom w:w="80" w:type="dxa"/>
              <w:end w:w="100" w:type="dxa"/>
            </w:tcMar>
            <w:vAlign w:val="top"/>
            <w:shd w:fill="F7F9FC"/>
          </w:tcPr>
          <w:p>
            <w:r>
              <w:rPr>
                <w:rFonts w:ascii="Aptos" w:hAnsi="Aptos"/>
                <w:sz w:val="15"/>
              </w:rPr>
              <w:t>Clear SOW, acceptance boundary, client-use obligations and counsel-reviewed agreement.</w:t>
            </w:r>
          </w:p>
        </w:tc>
      </w:tr>
    </w:tbl>
    <w:p>
      <w:pPr>
        <w:pStyle w:val="Heading1"/>
      </w:pPr>
      <w:r>
        <w:t>5. Contract topics for counsel</w:t>
      </w:r>
    </w:p>
    <w:p>
      <w:pPr>
        <w:pStyle w:val="ListBullet"/>
        <w:spacing w:after="40"/>
      </w:pPr>
      <w:r>
        <w:rPr>
          <w:rFonts w:ascii="Aptos" w:hAnsi="Aptos"/>
        </w:rPr>
        <w:t>Description of build/deploy/handover services and when operational responsibility transfers.</w:t>
      </w:r>
    </w:p>
    <w:p>
      <w:pPr>
        <w:pStyle w:val="ListBullet"/>
        <w:spacing w:after="40"/>
      </w:pPr>
      <w:r>
        <w:rPr>
          <w:rFonts w:ascii="Aptos" w:hAnsi="Aptos"/>
        </w:rPr>
        <w:t>Client representations regarding recipient data, marketing rights/permissions and lawful use.</w:t>
      </w:r>
    </w:p>
    <w:p>
      <w:pPr>
        <w:pStyle w:val="ListBullet"/>
        <w:spacing w:after="40"/>
      </w:pPr>
      <w:r>
        <w:rPr>
          <w:rFonts w:ascii="Aptos" w:hAnsi="Aptos"/>
        </w:rPr>
        <w:t>Acceptable-use restrictions, including phishing, malware, deceptive content and circumvention of suppression controls.</w:t>
      </w:r>
    </w:p>
    <w:p>
      <w:pPr>
        <w:pStyle w:val="ListBullet"/>
        <w:spacing w:after="40"/>
      </w:pPr>
      <w:r>
        <w:rPr>
          <w:rFonts w:ascii="Aptos" w:hAnsi="Aptos"/>
        </w:rPr>
        <w:t>Intellectual-property/source-code ownership and license scope.</w:t>
      </w:r>
    </w:p>
    <w:p>
      <w:pPr>
        <w:pStyle w:val="ListBullet"/>
        <w:spacing w:after="40"/>
      </w:pPr>
      <w:r>
        <w:rPr>
          <w:rFonts w:ascii="Aptos" w:hAnsi="Aptos"/>
        </w:rPr>
        <w:t>Confidentiality and data-processing obligations during implementation/support.</w:t>
      </w:r>
    </w:p>
    <w:p>
      <w:pPr>
        <w:pStyle w:val="ListBullet"/>
        <w:spacing w:after="40"/>
      </w:pPr>
      <w:r>
        <w:rPr>
          <w:rFonts w:ascii="Aptos" w:hAnsi="Aptos"/>
        </w:rPr>
        <w:t>Indemnification, warranties, limitation of liability and exclusions as permitted by applicable law.</w:t>
      </w:r>
    </w:p>
    <w:p>
      <w:pPr>
        <w:pStyle w:val="ListBullet"/>
        <w:spacing w:after="40"/>
      </w:pPr>
      <w:r>
        <w:rPr>
          <w:rFonts w:ascii="Aptos" w:hAnsi="Aptos"/>
        </w:rPr>
        <w:t>Support boundaries, incident access and credential-handling procedures.</w:t>
      </w:r>
    </w:p>
    <w:p>
      <w:pPr>
        <w:pStyle w:val="ListBullet"/>
        <w:spacing w:after="40"/>
      </w:pPr>
      <w:r>
        <w:rPr>
          <w:rFonts w:ascii="Aptos" w:hAnsi="Aptos"/>
        </w:rPr>
        <w:t>Acceptance/deemed-acceptance process and post-handover responsibilities.</w:t>
      </w:r>
    </w:p>
    <w:p>
      <w:pPr>
        <w:pStyle w:val="Heading1"/>
        <w:pageBreakBefore/>
      </w:pPr>
      <w:r>
        <w:t>6. Supplier operational boundary after handover</w:t>
      </w:r>
    </w:p>
    <w:p>
      <w:pPr>
        <w:spacing w:after="160"/>
      </w:pPr>
      <w:r>
        <w:t>The target operating model is intentionally asymmetric: the supplier delivers the software and implementation, while the client owns and operates the production environment after acceptance.</w:t>
      </w:r>
    </w:p>
    <w:tbl>
      <w:tblPr>
        <w:tblStyle w:val="TableGrid"/>
        <w:tblW w:type="auto" w:w="0"/>
        <w:tblLook w:firstColumn="1" w:firstRow="1" w:lastColumn="0" w:lastRow="0" w:noHBand="0" w:noVBand="1" w:val="04A0"/>
      </w:tblPr>
      <w:tblGrid>
        <w:gridCol w:w="5040"/>
        <w:gridCol w:w="5040"/>
      </w:tblGrid>
      <w:tr>
        <w:tc>
          <w:tcPr>
            <w:tcW w:type="dxa" w:w="5040"/>
            <w:shd w:fill="17365D"/>
          </w:tcPr>
          <w:p>
            <w:r>
              <w:rPr>
                <w:b/>
                <w:color w:val="FFFFFF"/>
              </w:rPr>
              <w:t>Supplier - build/deploy/handover</w:t>
            </w:r>
          </w:p>
        </w:tc>
        <w:tc>
          <w:tcPr>
            <w:tcW w:type="dxa" w:w="5040"/>
            <w:shd w:fill="17365D"/>
          </w:tcPr>
          <w:p>
            <w:r>
              <w:rPr>
                <w:b/>
                <w:color w:val="FFFFFF"/>
              </w:rPr>
              <w:t>Client - post-handover operation</w:t>
            </w:r>
          </w:p>
        </w:tc>
      </w:tr>
      <w:tr>
        <w:tc>
          <w:tcPr>
            <w:tcW w:type="dxa" w:w="5040"/>
          </w:tcPr>
          <w:p>
            <w:r>
              <w:t>Design and implement agreed features.</w:t>
            </w:r>
          </w:p>
        </w:tc>
        <w:tc>
          <w:tcPr>
            <w:tcW w:type="dxa" w:w="5040"/>
          </w:tcPr>
          <w:p>
            <w:r>
              <w:t>Own/control cloud server and production network.</w:t>
            </w:r>
          </w:p>
        </w:tc>
      </w:tr>
      <w:tr>
        <w:tc>
          <w:tcPr>
            <w:tcW w:type="dxa" w:w="5040"/>
          </w:tcPr>
          <w:p>
            <w:r>
              <w:t>Deploy and validate the production release.</w:t>
            </w:r>
          </w:p>
        </w:tc>
        <w:tc>
          <w:tcPr>
            <w:tcW w:type="dxa" w:w="5040"/>
          </w:tcPr>
          <w:p>
            <w:r>
              <w:t>Own/control application domain and DNS.</w:t>
            </w:r>
          </w:p>
        </w:tc>
      </w:tr>
      <w:tr>
        <w:tc>
          <w:tcPr>
            <w:tcW w:type="dxa" w:w="5040"/>
          </w:tcPr>
          <w:p>
            <w:r>
              <w:t>Configure client-controlled MTA, DNS identity and bounce processing.</w:t>
            </w:r>
          </w:p>
        </w:tc>
        <w:tc>
          <w:tcPr>
            <w:tcW w:type="dxa" w:w="5040"/>
          </w:tcPr>
          <w:p>
            <w:r>
              <w:t>Own/control sending IP, DNS, MTA limits and reputation.</w:t>
            </w:r>
          </w:p>
        </w:tc>
      </w:tr>
      <w:tr>
        <w:tc>
          <w:tcPr>
            <w:tcW w:type="dxa" w:w="5040"/>
          </w:tcPr>
          <w:p>
            <w:r>
              <w:t>Provide documentation and administrator training.</w:t>
            </w:r>
          </w:p>
        </w:tc>
        <w:tc>
          <w:tcPr>
            <w:tcW w:type="dxa" w:w="5040"/>
          </w:tcPr>
          <w:p>
            <w:r>
              <w:t>Own recipient data, list provenance and campaign content.</w:t>
            </w:r>
          </w:p>
        </w:tc>
      </w:tr>
      <w:tr>
        <w:tc>
          <w:tcPr>
            <w:tcW w:type="dxa" w:w="5040"/>
          </w:tcPr>
          <w:p>
            <w:r>
              <w:t>Execute agreed acceptance/load tests.</w:t>
            </w:r>
          </w:p>
        </w:tc>
        <w:tc>
          <w:tcPr>
            <w:tcW w:type="dxa" w:w="5040"/>
          </w:tcPr>
          <w:p>
            <w:r>
              <w:t>Decide when and to whom campaigns are sent.</w:t>
            </w:r>
          </w:p>
        </w:tc>
      </w:tr>
      <w:tr>
        <w:tc>
          <w:tcPr>
            <w:tcW w:type="dxa" w:w="5040"/>
          </w:tcPr>
          <w:p>
            <w:r>
              <w:t>Transfer agreed source/build artifacts and runbooks.</w:t>
            </w:r>
          </w:p>
        </w:tc>
        <w:tc>
          <w:tcPr>
            <w:tcW w:type="dxa" w:w="5040"/>
          </w:tcPr>
          <w:p>
            <w:r>
              <w:t>Monitor bounce, complaint, remote SMTP and reputation status.</w:t>
            </w:r>
          </w:p>
        </w:tc>
      </w:tr>
      <w:tr>
        <w:tc>
          <w:tcPr>
            <w:tcW w:type="dxa" w:w="5040"/>
          </w:tcPr>
          <w:p>
            <w:r>
              <w:t>Reduce/remove privileged production access at handover.</w:t>
            </w:r>
          </w:p>
        </w:tc>
        <w:tc>
          <w:tcPr>
            <w:tcW w:type="dxa" w:w="5040"/>
          </w:tcPr>
          <w:p>
            <w:r>
              <w:t>Maintain backups, infrastructure and software after handover unless support is separately contracted.</w:t>
            </w:r>
          </w:p>
        </w:tc>
      </w:tr>
    </w:tbl>
    <w:p>
      <w:r>
        <w:t>Any later support access should be separately authorized, least-privilege and time-bounded. The commercial agreement should match the actual operating model rather than rely only on labels such as “software vendor” or “SaaS.”</w:t>
      </w:r>
    </w:p>
    <w:p>
      <w:pPr>
        <w:pStyle w:val="Heading1"/>
        <w:pageBreakBefore/>
      </w:pPr>
      <w:r>
        <w:t>7. Additional direct-to-MX risks</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Required control</w:t>
            </w:r>
          </w:p>
        </w:tc>
      </w:tr>
      <w:tr>
        <w:tc>
          <w:tcPr>
            <w:tcW w:type="dxa" w:w="3360"/>
          </w:tcPr>
          <w:p>
            <w:r>
              <w:t>Open relay or compromised submission</w:t>
            </w:r>
          </w:p>
        </w:tc>
        <w:tc>
          <w:tcPr>
            <w:tcW w:type="dxa" w:w="3360"/>
          </w:tcPr>
          <w:p>
            <w:r>
              <w:t>Abuse or blacklisting</w:t>
            </w:r>
          </w:p>
        </w:tc>
        <w:tc>
          <w:tcPr>
            <w:tcW w:type="dxa" w:w="3360"/>
          </w:tcPr>
          <w:p>
            <w:r>
              <w:t>Loopback/private submission; authentication if remote; firewall and relay restrictions tested.</w:t>
            </w:r>
          </w:p>
        </w:tc>
      </w:tr>
      <w:tr>
        <w:tc>
          <w:tcPr>
            <w:tcW w:type="dxa" w:w="3360"/>
          </w:tcPr>
          <w:p>
            <w:r>
              <w:t>Fresh/poor sending IP reputation</w:t>
            </w:r>
          </w:p>
        </w:tc>
        <w:tc>
          <w:tcPr>
            <w:tcW w:type="dxa" w:w="3360"/>
          </w:tcPr>
          <w:p>
            <w:r>
              <w:t>Deferrals, blocks or spam placement</w:t>
            </w:r>
          </w:p>
        </w:tc>
        <w:tc>
          <w:tcPr>
            <w:tcW w:type="dxa" w:w="3360"/>
          </w:tcPr>
          <w:p>
            <w:r>
              <w:t>Warm-up, permission lists, complaint/reputation monitoring and conservative destination throttles.</w:t>
            </w:r>
          </w:p>
        </w:tc>
      </w:tr>
      <w:tr>
        <w:tc>
          <w:tcPr>
            <w:tcW w:type="dxa" w:w="3360"/>
          </w:tcPr>
          <w:p>
            <w:r>
              <w:t>Missing/inconsistent PTR/SPF/DKIM/DMARC</w:t>
            </w:r>
          </w:p>
        </w:tc>
        <w:tc>
          <w:tcPr>
            <w:tcW w:type="dxa" w:w="3360"/>
          </w:tcPr>
          <w:p>
            <w:r>
              <w:t>Authentication failures</w:t>
            </w:r>
          </w:p>
        </w:tc>
        <w:tc>
          <w:tcPr>
            <w:tcW w:type="dxa" w:w="3360"/>
          </w:tcPr>
          <w:p>
            <w:r>
              <w:t>Production gate requires verified DNS identity and alignment.</w:t>
            </w:r>
          </w:p>
        </w:tc>
      </w:tr>
      <w:tr>
        <w:tc>
          <w:tcPr>
            <w:tcW w:type="dxa" w:w="3360"/>
          </w:tcPr>
          <w:p>
            <w:r>
              <w:t>MTA queue consumes disk</w:t>
            </w:r>
          </w:p>
        </w:tc>
        <w:tc>
          <w:tcPr>
            <w:tcW w:type="dxa" w:w="3360"/>
          </w:tcPr>
          <w:p>
            <w:r>
              <w:t>Service degradation</w:t>
            </w:r>
          </w:p>
        </w:tc>
        <w:tc>
          <w:tcPr>
            <w:tcW w:type="dxa" w:w="3360"/>
          </w:tcPr>
          <w:p>
            <w:r>
              <w:t>Queue/disk alerts, bounded logs and pause controls.</w:t>
            </w:r>
          </w:p>
        </w:tc>
      </w:tr>
      <w:tr>
        <w:tc>
          <w:tcPr>
            <w:tcW w:type="dxa" w:w="3360"/>
          </w:tcPr>
          <w:p>
            <w:r>
              <w:t>Bounce parser misclassification</w:t>
            </w:r>
          </w:p>
        </w:tc>
        <w:tc>
          <w:tcPr>
            <w:tcW w:type="dxa" w:w="3360"/>
          </w:tcPr>
          <w:p>
            <w:r>
              <w:t>Wrong retries or suppression</w:t>
            </w:r>
          </w:p>
        </w:tc>
        <w:tc>
          <w:tcPr>
            <w:tcW w:type="dxa" w:w="3360"/>
          </w:tcPr>
          <w:p>
            <w:r>
              <w:t>DSN fixtures/tests, raw-event retention, idempotency and manual review.</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Aptos" w:hAnsi="Aptos"/>
              <w:color w:val="666666"/>
              <w:sz w:val="16"/>
            </w:rPr>
            <w:t>Project Documentation</w:t>
          </w:r>
        </w:p>
      </w:tc>
      <w:tc>
        <w:tcPr>
          <w:tcW w:type="dxa" w:w="3360"/>
        </w:tcPr>
        <w:p>
          <w:pPr>
            <w:jc w:val="center"/>
          </w:pPr>
          <w:r>
            <w:rPr>
              <w:rFonts w:ascii="Aptos" w:hAnsi="Aptos"/>
              <w:color w:val="666666"/>
              <w:sz w:val="16"/>
            </w:rPr>
            <w:t>v0.3</w:t>
          </w:r>
        </w:p>
      </w:tc>
      <w:tc>
        <w:tcPr>
          <w:tcW w:type="dxa" w:w="3360"/>
        </w:tcPr>
        <w:p>
          <w:pPr>
            <w:jc w:val="right"/>
          </w:pPr>
          <w:r>
            <w:rPr>
              <w:rFonts w:ascii="Aptos" w:hAnsi="Aptos"/>
              <w:color w:val="666666"/>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056"/>
      <w:gridCol w:w="3024"/>
    </w:tblGrid>
    <w:tr>
      <w:tc>
        <w:tcPr>
          <w:tcW w:type="dxa" w:w="5040"/>
        </w:tcPr>
        <w:p>
          <w:pPr>
            <w:jc w:val="left"/>
          </w:pPr>
          <w:r>
            <w:rPr>
              <w:rFonts w:ascii="Aptos" w:hAnsi="Aptos"/>
              <w:b/>
              <w:color w:val="17365D"/>
              <w:sz w:val="17"/>
            </w:rPr>
            <w:t>Email Marketing Platform</w:t>
          </w:r>
        </w:p>
      </w:tc>
      <w:tc>
        <w:tcPr>
          <w:tcW w:type="dxa" w:w="5040"/>
        </w:tcPr>
        <w:p>
          <w:pPr>
            <w:jc w:val="right"/>
          </w:pPr>
          <w:r>
            <w:rPr>
              <w:rFonts w:ascii="Aptos" w:hAnsi="Aptos"/>
              <w:color w:val="666666"/>
              <w:sz w:val="16"/>
            </w:rPr>
            <w:t>DOC-07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