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2"/>
        </w:rPr>
        <w:t>MVP Backlog &amp; Acceptance Criteria</w:t>
      </w:r>
    </w:p>
    <w:p>
      <w:pPr>
        <w:jc w:val="center"/>
      </w:pPr>
      <w:r>
        <w:rPr>
          <w:rFonts w:ascii="Aptos" w:hAnsi="Aptos"/>
          <w:color w:val="2F5597"/>
          <w:sz w:val="26"/>
        </w:rPr>
        <w:t>Self-Hosted Campaign Management &amp; Bulk Email Software</w:t>
      </w:r>
    </w:p>
    <w:p>
      <w:pPr>
        <w:spacing w:before="560"/>
        <w:jc w:val="center"/>
      </w:pPr>
      <w:r>
        <w:rPr>
          <w:rFonts w:ascii="Aptos" w:hAnsi="Aptos"/>
          <w:color w:val="666666"/>
          <w:sz w:val="20"/>
        </w:rPr>
        <w:t>Document code: DOC-08</w:t>
        <w:br/>
        <w:t>Version: 0.3</w:t>
        <w:br/>
        <w:t>Date: 20 September 2026</w:t>
      </w:r>
    </w:p>
    <w:p>
      <w:pPr>
        <w:spacing w:before="500"/>
        <w:jc w:val="center"/>
      </w:pPr>
      <w:r>
        <w:rPr>
          <w:rFonts w:ascii="Aptos" w:hAnsi="Aptos"/>
          <w:i/>
          <w:color w:val="666666"/>
          <w:sz w:val="18"/>
        </w:rPr>
        <w:t>Working title - replace with final product/client name during branding.</w:t>
      </w:r>
    </w:p>
    <w:p>
      <w:r>
        <w:br w:type="page"/>
      </w:r>
    </w:p>
    <w:p>
      <w:pPr>
        <w:pStyle w:val="Heading1"/>
      </w:pPr>
      <w:r>
        <w:t>1. Prioritization</w:t>
      </w:r>
    </w:p>
    <w:p>
      <w:r>
        <w:t>P0 items are required for MVP acceptance. P1 items are strongly recommended but may be deferred by agreement. P2 items are post-MVP enhancements.</w:t>
      </w:r>
    </w:p>
    <w:p>
      <w:pPr>
        <w:pStyle w:val="Heading1"/>
      </w:pPr>
      <w:r>
        <w:t>2. MVP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152"/>
        <w:gridCol w:w="2880"/>
        <w:gridCol w:w="5040"/>
      </w:tblGrid>
      <w:tr>
        <w:trPr>
          <w:tblHeader w:val="true"/>
        </w:trPr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Story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Acceptance summary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AUTH-01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Login/logout and secure session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Authorized users can authenticate; disabled users cannot access application.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AUTH-02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Role-based permissions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Admin-only settings cannot be accessed by marketing/read-only users.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AUD-01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Contact CRUD/search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User can add, edit, search and view contact status.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AUD-02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CSV import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User maps CSV fields; duplicates/invalid/suppressed rows are reported.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AUD-03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Lists/tags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Contacts can belong to one or more lists/tags.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SUP-01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Suppression enforcement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Suppressed contact cannot be queued or sent a marketing message.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CAM-01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Campaign create/edit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User can define sender, subject, preview text and internal name.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CAM-02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Audience selection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Campaign shows eligible and excluded recipient counts.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CAM-03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Template/rendering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Responsive HTML renders with personalization and unsubscribe token.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CAM-04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Test send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Authorized user can send a test without launching campaign.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CAM-05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Schedule/send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Campaign can send now or at a scheduled time.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DEL-01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Queue workers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Recipient delivery occurs asynchronously through BullMQ workers.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DEL-02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Rate limits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Per-second/hour/day limits are enforced.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DEL-03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Retries/idempotency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Transient failures retry without duplicate successful deliveries.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MTA-04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Bounce/DSN processing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Valid MTA delivery/bounce events update recipient/campaign state idempotently.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SUP-02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Unsubscribe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Unsubscribe event immediately prevents future marketing delivery.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SUP-03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Bounce/complaint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Hard bounce/complaint automatically suppresses recipient.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ADM-01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MTA settings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Admin can inspect/configure approved MTA limits, sending identity and optional fallback relay securely.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ADM-02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Sending domains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Admin can record/verify sending-domain configuration.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REP-01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Campaign report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Report shows recipient, sent, delivered, bounce, complaint and unsubscribe counts.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OPS-01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Health/logging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Admin can determine app/worker/queue health and recent failures.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OPS-02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Backup/restore runbook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Client can perform documented backup and restore process.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SEG-01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Advanced segmentation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Filter by tags/custom fields/status combinations.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REP-02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CSV report export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Campaign recipient/event report can be exported.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SEC-01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2FA for administrators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Admin accounts can enable second factor.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P2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AUT-01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Automation sequences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4"/>
              </w:rPr>
              <w:t>Create delayed/event-driven email sequences.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P2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ABT-01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A/B tests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Compare campaign variants with controlled allocation.</w:t>
            </w:r>
          </w:p>
        </w:tc>
      </w:tr>
      <w:tr>
        <w:tc>
          <w:tcPr>
            <w:tcW w:type="dxa" w:w="1008"/>
          </w:tcPr>
          <w:p>
            <w:r>
              <w:t>P0</w:t>
            </w:r>
          </w:p>
        </w:tc>
        <w:tc>
          <w:tcPr>
            <w:tcW w:type="dxa" w:w="1152"/>
          </w:tcPr>
          <w:p>
            <w:r>
              <w:t>MTA-01</w:t>
            </w:r>
          </w:p>
        </w:tc>
        <w:tc>
          <w:tcPr>
            <w:tcW w:type="dxa" w:w="2880"/>
          </w:tcPr>
          <w:p>
            <w:r>
              <w:t>Outbound MTA</w:t>
            </w:r>
          </w:p>
        </w:tc>
        <w:tc>
          <w:tcPr>
            <w:tcW w:type="dxa" w:w="5040"/>
          </w:tcPr>
          <w:p>
            <w:r>
              <w:t>Postfix accepts only authorized local/private submission and delivers directly to recipient MX servers.</w:t>
            </w:r>
          </w:p>
        </w:tc>
      </w:tr>
      <w:tr>
        <w:tc>
          <w:tcPr>
            <w:tcW w:type="dxa" w:w="1008"/>
          </w:tcPr>
          <w:p>
            <w:r>
              <w:t>P0</w:t>
            </w:r>
          </w:p>
        </w:tc>
        <w:tc>
          <w:tcPr>
            <w:tcW w:type="dxa" w:w="1152"/>
          </w:tcPr>
          <w:p>
            <w:r>
              <w:t>MTA-02</w:t>
            </w:r>
          </w:p>
        </w:tc>
        <w:tc>
          <w:tcPr>
            <w:tcW w:type="dxa" w:w="2880"/>
          </w:tcPr>
          <w:p>
            <w:r>
              <w:t>DNS identity</w:t>
            </w:r>
          </w:p>
        </w:tc>
        <w:tc>
          <w:tcPr>
            <w:tcW w:type="dxa" w:w="5040"/>
          </w:tcPr>
          <w:p>
            <w:r>
              <w:t>PTR/rDNS, SPF, DKIM and DMARC checks are documented and block production launch when incomplete.</w:t>
            </w:r>
          </w:p>
        </w:tc>
      </w:tr>
      <w:tr>
        <w:tc>
          <w:tcPr>
            <w:tcW w:type="dxa" w:w="1008"/>
          </w:tcPr>
          <w:p>
            <w:r>
              <w:t>P0</w:t>
            </w:r>
          </w:p>
        </w:tc>
        <w:tc>
          <w:tcPr>
            <w:tcW w:type="dxa" w:w="1152"/>
          </w:tcPr>
          <w:p>
            <w:r>
              <w:t>MTA-03</w:t>
            </w:r>
          </w:p>
        </w:tc>
        <w:tc>
          <w:tcPr>
            <w:tcW w:type="dxa" w:w="2880"/>
          </w:tcPr>
          <w:p>
            <w:r>
              <w:t>Transport throttling</w:t>
            </w:r>
          </w:p>
        </w:tc>
        <w:tc>
          <w:tcPr>
            <w:tcW w:type="dxa" w:w="5040"/>
          </w:tcPr>
          <w:p>
            <w:r>
              <w:t>Global and destination-aware concurrency/rate controls plus remote 4xx backoff are configurable.</w:t>
            </w:r>
          </w:p>
        </w:tc>
      </w:tr>
      <w:tr>
        <w:tc>
          <w:tcPr>
            <w:tcW w:type="dxa" w:w="1008"/>
          </w:tcPr>
          <w:p>
            <w:r>
              <w:t>P0</w:t>
            </w:r>
          </w:p>
        </w:tc>
        <w:tc>
          <w:tcPr>
            <w:tcW w:type="dxa" w:w="1152"/>
          </w:tcPr>
          <w:p>
            <w:r>
              <w:t>MTA-05</w:t>
            </w:r>
          </w:p>
        </w:tc>
        <w:tc>
          <w:tcPr>
            <w:tcW w:type="dxa" w:w="2880"/>
          </w:tcPr>
          <w:p>
            <w:r>
              <w:t>Queue observability</w:t>
            </w:r>
          </w:p>
        </w:tc>
        <w:tc>
          <w:tcPr>
            <w:tcW w:type="dxa" w:w="5040"/>
          </w:tcPr>
          <w:p>
            <w:r>
              <w:t>Admin/operations can inspect MTA queue depth, oldest message, deferrals and recent SMTP failures.</w:t>
            </w:r>
          </w:p>
        </w:tc>
      </w:tr>
    </w:tbl>
    <w:p>
      <w:pPr>
        <w:pStyle w:val="Heading1"/>
      </w:pPr>
      <w:r>
        <w:t>3. Definition of done</w:t>
      </w:r>
    </w:p>
    <w:p>
      <w:pPr>
        <w:pStyle w:val="ListBullet"/>
        <w:spacing w:after="40"/>
      </w:pPr>
      <w:r>
        <w:rPr>
          <w:rFonts w:ascii="Aptos" w:hAnsi="Aptos"/>
        </w:rPr>
        <w:t>Code reviewed and merged with versioned database migration if needed.</w:t>
      </w:r>
    </w:p>
    <w:p>
      <w:pPr>
        <w:pStyle w:val="ListBullet"/>
        <w:spacing w:after="40"/>
      </w:pPr>
      <w:r>
        <w:rPr>
          <w:rFonts w:ascii="Aptos" w:hAnsi="Aptos"/>
        </w:rPr>
        <w:t>Automated tests cover critical business rules where practical.</w:t>
      </w:r>
    </w:p>
    <w:p>
      <w:pPr>
        <w:pStyle w:val="ListBullet"/>
        <w:spacing w:after="40"/>
      </w:pPr>
      <w:r>
        <w:rPr>
          <w:rFonts w:ascii="Aptos" w:hAnsi="Aptos"/>
        </w:rPr>
        <w:t>Feature validated in staging against its acceptance criteria.</w:t>
      </w:r>
    </w:p>
    <w:p>
      <w:pPr>
        <w:pStyle w:val="ListBullet"/>
        <w:spacing w:after="40"/>
      </w:pPr>
      <w:r>
        <w:rPr>
          <w:rFonts w:ascii="Aptos" w:hAnsi="Aptos"/>
        </w:rPr>
        <w:t>No known high-severity security defect introduced.</w:t>
      </w:r>
    </w:p>
    <w:p>
      <w:pPr>
        <w:pStyle w:val="ListBullet"/>
        <w:spacing w:after="40"/>
      </w:pPr>
      <w:r>
        <w:rPr>
          <w:rFonts w:ascii="Aptos" w:hAnsi="Aptos"/>
        </w:rPr>
        <w:t>Operational/documentation changes are reflected in the relevant runbook.</w:t>
      </w:r>
    </w:p>
    <w:p>
      <w:pPr>
        <w:pStyle w:val="ListBullet"/>
        <w:spacing w:after="40"/>
      </w:pPr>
      <w:r>
        <w:rPr>
          <w:rFonts w:ascii="Aptos" w:hAnsi="Aptos"/>
        </w:rPr>
        <w:t>Client-facing behavior is demonstrated during acceptance testing.</w:t>
      </w:r>
    </w:p>
    <w:p>
      <w:pPr>
        <w:pStyle w:val="Heading1"/>
      </w:pPr>
      <w:r>
        <w:t>4. Test scenarios that must pass before handover</w:t>
      </w:r>
    </w:p>
    <w:p>
      <w:pPr>
        <w:pStyle w:val="ListNumber"/>
      </w:pPr>
      <w:r>
        <w:rPr>
          <w:rFonts w:ascii="Aptos" w:hAnsi="Aptos"/>
        </w:rPr>
        <w:t>Import a file containing valid, duplicate, invalid and previously suppressed addresses; verify correct outcomes.</w:t>
      </w:r>
    </w:p>
    <w:p>
      <w:pPr>
        <w:pStyle w:val="ListNumber"/>
      </w:pPr>
      <w:r>
        <w:rPr>
          <w:rFonts w:ascii="Aptos" w:hAnsi="Aptos"/>
        </w:rPr>
        <w:t>Create campaign for a list containing a suppressed contact; verify suppressed contact is excluded.</w:t>
      </w:r>
    </w:p>
    <w:p>
      <w:pPr>
        <w:pStyle w:val="ListNumber"/>
      </w:pPr>
      <w:r>
        <w:rPr>
          <w:rFonts w:ascii="Aptos" w:hAnsi="Aptos"/>
        </w:rPr>
        <w:t>Launch a test campaign; restart a worker mid-run; verify no duplicate successful deliveries.</w:t>
      </w:r>
    </w:p>
    <w:p>
      <w:pPr>
        <w:pStyle w:val="ListNumber"/>
      </w:pPr>
      <w:r>
        <w:rPr>
          <w:rFonts w:ascii="Aptos" w:hAnsi="Aptos"/>
        </w:rPr>
        <w:t>Exceed configured hourly/daily limit in a controlled test; verify jobs defer rather than bypass limit.</w:t>
      </w:r>
    </w:p>
    <w:p>
      <w:pPr>
        <w:pStyle w:val="ListNumber"/>
      </w:pPr>
      <w:r>
        <w:t>Submit valid and duplicate DSN/feedback events; verify idempotent state updates.</w:t>
      </w:r>
    </w:p>
    <w:p>
      <w:pPr>
        <w:pStyle w:val="ListNumber"/>
      </w:pPr>
      <w:r>
        <w:rPr>
          <w:rFonts w:ascii="Aptos" w:hAnsi="Aptos"/>
        </w:rPr>
        <w:t>Trigger unsubscribe, hard-bounce and complaint test events; verify all block future marketing delivery.</w:t>
      </w:r>
    </w:p>
    <w:p>
      <w:pPr>
        <w:pStyle w:val="ListNumber"/>
      </w:pPr>
      <w:r>
        <w:rPr>
          <w:rFonts w:ascii="Aptos" w:hAnsi="Aptos"/>
        </w:rPr>
        <w:t>Pause and cancel campaigns with queued jobs; verify workers respect the latest campaign state.</w:t>
      </w:r>
    </w:p>
    <w:p>
      <w:pPr>
        <w:pStyle w:val="ListNumber"/>
      </w:pPr>
      <w:r>
        <w:rPr>
          <w:rFonts w:ascii="Aptos" w:hAnsi="Aptos"/>
        </w:rPr>
        <w:t>Perform backup and restore into a test environment and verify core records are recovered.</w:t>
      </w:r>
    </w:p>
    <w:p>
      <w:pPr>
        <w:pStyle w:val="ListNumber"/>
      </w:pPr>
      <w:r>
        <w:t>Rotate production application/MTA secrets and DKIM keys according to the runbook and confirm continued operation.</w:t>
      </w:r>
    </w:p>
    <w:p>
      <w:pPr>
        <w:pStyle w:val="ListNumber"/>
      </w:pPr>
      <w:r>
        <w:t>Execute agreed 20,000-recipient synthetic application/queue load test and review app/queue stability; separately validate controlled direct-to-MX sending at the initial operating rate.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Project Documentation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>v0.3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/>
              <w:b/>
              <w:color w:val="17365D"/>
              <w:sz w:val="17"/>
            </w:rPr>
            <w:t>Email Marketing Platform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DOC-08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