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2"/>
        </w:rPr>
        <w:t>Project Cost Estimate &amp; Budget Model</w:t>
      </w:r>
    </w:p>
    <w:p>
      <w:pPr>
        <w:jc w:val="center"/>
      </w:pPr>
      <w:r>
        <w:rPr>
          <w:rFonts w:ascii="Aptos" w:hAnsi="Aptos"/>
          <w:color w:val="2F5597"/>
          <w:sz w:val="26"/>
        </w:rPr>
        <w:t>Self-Hosted Campaign Management &amp; Bulk Email Software</w:t>
      </w:r>
    </w:p>
    <w:p>
      <w:pPr>
        <w:jc w:val="center"/>
      </w:pPr>
      <w:r>
        <w:rPr>
          <w:rFonts w:ascii="Aptos" w:hAnsi="Aptos"/>
          <w:color w:val="666666"/>
          <w:sz w:val="20"/>
        </w:rPr>
        <w:t>Document code: DOC-09</w:t>
        <w:br/>
        <w:t>Version: 0.3</w:t>
        <w:br/>
        <w:t>Date: 20 September 2026</w:t>
      </w:r>
    </w:p>
    <w:p>
      <w:pPr>
        <w:jc w:val="center"/>
      </w:pPr>
      <w:r>
        <w:rPr>
          <w:rFonts w:ascii="Aptos" w:hAnsi="Aptos"/>
          <w:i/>
          <w:color w:val="666666"/>
          <w:sz w:val="18"/>
        </w:rPr>
        <w:t>Working title - replace with final product/client name during branding.</w:t>
      </w:r>
    </w:p>
    <w:p/>
    <w:p>
      <w:pPr>
        <w:pStyle w:val="Heading1"/>
      </w:pPr>
      <w:r>
        <w:t>1. Purpose and estimate basis</w:t>
      </w:r>
    </w:p>
    <w:p>
      <w:r>
        <w:t>This document provides an initial planning budget for the MVP defined in DOC-02 and the related technical/UX documents. It separates the one-time build/deploy/handover cost from the recurring services the client will pay directly after handover. It is a budget model, not a binding quotation.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AF2F8"/>
          </w:tcPr>
          <w:p>
            <w:r>
              <w:t>Pricing status</w:t>
              <w:br/>
              <w:t>All figures are planning estimates in USD and should be replaced with the supplier's approved rates and current hosting/IP/monitoring quotations before a commercial proposal is issued. Live vendor pricing has not been verified in this documentation update.</w:t>
            </w:r>
          </w:p>
        </w:tc>
      </w:tr>
    </w:tbl>
    <w:p/>
    <w:p>
      <w:pPr>
        <w:pStyle w:val="Heading1"/>
      </w:pPr>
      <w:r>
        <w:t>2. Executive cost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Cost category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Planning basis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Estimated amount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Paid by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MVP engineering effort</w:t>
            </w:r>
          </w:p>
        </w:tc>
        <w:tc>
          <w:tcPr>
            <w:tcW w:type="dxa" w:w="2520"/>
            <w:vAlign w:val="center"/>
          </w:tcPr>
          <w:p>
            <w:r>
              <w:t>Approx. 400-580 delivery hours</w:t>
            </w:r>
          </w:p>
        </w:tc>
        <w:tc>
          <w:tcPr>
            <w:tcW w:type="dxa" w:w="2520"/>
            <w:vAlign w:val="center"/>
          </w:tcPr>
          <w:p>
            <w:r>
              <w:t>Depends on supplier rate</w:t>
            </w:r>
          </w:p>
        </w:tc>
        <w:tc>
          <w:tcPr>
            <w:tcW w:type="dxa" w:w="2520"/>
            <w:vAlign w:val="center"/>
          </w:tcPr>
          <w:p>
            <w:r>
              <w:t>Client -&gt; Supplier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Illustrative build cost @ $35/hour</w:t>
            </w:r>
          </w:p>
        </w:tc>
        <w:tc>
          <w:tcPr>
            <w:tcW w:type="dxa" w:w="2520"/>
            <w:vAlign w:val="center"/>
          </w:tcPr>
          <w:p>
            <w:r>
              <w:t>400-580 hours</w:t>
            </w:r>
          </w:p>
        </w:tc>
        <w:tc>
          <w:tcPr>
            <w:tcW w:type="dxa" w:w="2520"/>
            <w:vAlign w:val="center"/>
          </w:tcPr>
          <w:p>
            <w:r>
              <w:t>$14,000-$20,300</w:t>
            </w:r>
          </w:p>
        </w:tc>
        <w:tc>
          <w:tcPr>
            <w:tcW w:type="dxa" w:w="2520"/>
            <w:vAlign w:val="center"/>
          </w:tcPr>
          <w:p>
            <w:r>
              <w:t>Client -&gt; Supplier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Illustrative build cost @ $50/hour</w:t>
            </w:r>
          </w:p>
        </w:tc>
        <w:tc>
          <w:tcPr>
            <w:tcW w:type="dxa" w:w="2520"/>
            <w:vAlign w:val="center"/>
          </w:tcPr>
          <w:p>
            <w:r>
              <w:t>400-580 hours</w:t>
            </w:r>
          </w:p>
        </w:tc>
        <w:tc>
          <w:tcPr>
            <w:tcW w:type="dxa" w:w="2520"/>
            <w:vAlign w:val="center"/>
          </w:tcPr>
          <w:p>
            <w:r>
              <w:t>$20,000-$29,000</w:t>
            </w:r>
          </w:p>
        </w:tc>
        <w:tc>
          <w:tcPr>
            <w:tcW w:type="dxa" w:w="2520"/>
            <w:vAlign w:val="center"/>
          </w:tcPr>
          <w:p>
            <w:r>
              <w:t>Client -&gt; Supplier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Illustrative build cost @ $75/hour</w:t>
            </w:r>
          </w:p>
        </w:tc>
        <w:tc>
          <w:tcPr>
            <w:tcW w:type="dxa" w:w="2520"/>
            <w:vAlign w:val="center"/>
          </w:tcPr>
          <w:p>
            <w:r>
              <w:t>400-580 hours</w:t>
            </w:r>
          </w:p>
        </w:tc>
        <w:tc>
          <w:tcPr>
            <w:tcW w:type="dxa" w:w="2520"/>
            <w:vAlign w:val="center"/>
          </w:tcPr>
          <w:p>
            <w:r>
              <w:t>$30,000-$43,500</w:t>
            </w:r>
          </w:p>
        </w:tc>
        <w:tc>
          <w:tcPr>
            <w:tcW w:type="dxa" w:w="2520"/>
            <w:vAlign w:val="center"/>
          </w:tcPr>
          <w:p>
            <w:r>
              <w:t>Client -&gt; Supplier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Illustrative fixed-price envelope</w:t>
            </w:r>
          </w:p>
        </w:tc>
        <w:tc>
          <w:tcPr>
            <w:tcW w:type="dxa" w:w="2520"/>
            <w:vAlign w:val="center"/>
          </w:tcPr>
          <w:p>
            <w:r>
              <w:t>~$50/hour basis + contingency</w:t>
            </w:r>
          </w:p>
        </w:tc>
        <w:tc>
          <w:tcPr>
            <w:tcW w:type="dxa" w:w="2520"/>
            <w:vAlign w:val="center"/>
          </w:tcPr>
          <w:p>
            <w:r>
              <w:t>$24,000-$35,000</w:t>
            </w:r>
          </w:p>
        </w:tc>
        <w:tc>
          <w:tcPr>
            <w:tcW w:type="dxa" w:w="2520"/>
            <w:vAlign w:val="center"/>
          </w:tcPr>
          <w:p>
            <w:r>
              <w:t>Client -&gt; Supplier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Client recurring infrastructure</w:t>
            </w:r>
          </w:p>
        </w:tc>
        <w:tc>
          <w:tcPr>
            <w:tcW w:type="dxa" w:w="2520"/>
            <w:vAlign w:val="center"/>
          </w:tcPr>
          <w:p>
            <w:r>
              <w:t>Hosting, backup, static IP, monitoring, optional relay</w:t>
            </w:r>
          </w:p>
        </w:tc>
        <w:tc>
          <w:tcPr>
            <w:tcW w:type="dxa" w:w="2520"/>
            <w:vAlign w:val="center"/>
          </w:tcPr>
          <w:p>
            <w:r>
              <w:t>Approx. $40-$520+/month</w:t>
            </w:r>
          </w:p>
        </w:tc>
        <w:tc>
          <w:tcPr>
            <w:tcW w:type="dxa" w:w="2520"/>
            <w:vAlign w:val="center"/>
          </w:tcPr>
          <w:p>
            <w:r>
              <w:t>Client -&gt; Vendors</w:t>
            </w:r>
          </w:p>
        </w:tc>
      </w:tr>
    </w:tbl>
    <w:p>
      <w:r>
        <w:t>The fixed-price envelope is an illustrative budgeting range, not a recommended margin or final client quote. The supplier should price the engagement based on its actual blended delivery rate, tax position, staffing model, warranty/support commitments and commercial risk.</w:t>
      </w:r>
    </w:p>
    <w:p>
      <w:pPr>
        <w:pStyle w:val="Heading1"/>
        <w:pageBreakBefore/>
      </w:pPr>
      <w:r>
        <w:t>3. Estimated implementation effort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Low hours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High hours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Includes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Discovery &amp; architecture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24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40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Requirements refinement, architecture, data model, delivery planning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UX &amp; application shell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32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48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Navigation, core screens, responsive layout, reusable components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Authentication &amp; administration</w:t>
            </w:r>
          </w:p>
        </w:tc>
        <w:tc>
          <w:tcPr>
            <w:tcW w:type="dxa" w:w="2520"/>
            <w:vAlign w:val="center"/>
          </w:tcPr>
          <w:p>
            <w:r>
              <w:t>24</w:t>
            </w:r>
          </w:p>
        </w:tc>
        <w:tc>
          <w:tcPr>
            <w:tcW w:type="dxa" w:w="2520"/>
            <w:vAlign w:val="center"/>
          </w:tcPr>
          <w:p>
            <w:r>
              <w:t>36</w:t>
            </w:r>
          </w:p>
        </w:tc>
        <w:tc>
          <w:tcPr>
            <w:tcW w:type="dxa" w:w="2520"/>
            <w:vAlign w:val="center"/>
          </w:tcPr>
          <w:p>
            <w:r>
              <w:t>Login, roles, users, system/MTA settings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Audience &amp; imports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48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64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Contacts, lists, tags, CSV import, validation, deduplication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Campaigns &amp; templates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56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80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Campaign wizard, templates, personalization, preview/test send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Queue &amp; sending integration</w:t>
            </w:r>
          </w:p>
        </w:tc>
        <w:tc>
          <w:tcPr>
            <w:tcW w:type="dxa" w:w="2520"/>
            <w:vAlign w:val="center"/>
          </w:tcPr>
          <w:p>
            <w:r>
              <w:t>64</w:t>
            </w:r>
          </w:p>
        </w:tc>
        <w:tc>
          <w:tcPr>
            <w:tcW w:type="dxa" w:w="2520"/>
            <w:vAlign w:val="center"/>
          </w:tcPr>
          <w:p>
            <w:r>
              <w:t>96</w:t>
            </w:r>
          </w:p>
        </w:tc>
        <w:tc>
          <w:tcPr>
            <w:tcW w:type="dxa" w:w="2520"/>
            <w:vAlign w:val="center"/>
          </w:tcPr>
          <w:p>
            <w:r>
              <w:t>Redis/BullMQ, workers, Postfix integration, DSN processing, rate limiting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Deliverability controls</w:t>
            </w:r>
          </w:p>
        </w:tc>
        <w:tc>
          <w:tcPr>
            <w:tcW w:type="dxa" w:w="2520"/>
            <w:vAlign w:val="center"/>
          </w:tcPr>
          <w:p>
            <w:r>
              <w:t>48</w:t>
            </w:r>
          </w:p>
        </w:tc>
        <w:tc>
          <w:tcPr>
            <w:tcW w:type="dxa" w:w="2520"/>
            <w:vAlign w:val="center"/>
          </w:tcPr>
          <w:p>
            <w:r>
              <w:t>72</w:t>
            </w:r>
          </w:p>
        </w:tc>
        <w:tc>
          <w:tcPr>
            <w:tcW w:type="dxa" w:w="2520"/>
            <w:vAlign w:val="center"/>
          </w:tcPr>
          <w:p>
            <w:r>
              <w:t>Suppression, unsubscribe, DSN/bounce/complaint feedback, DNS identity checks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Reporting &amp; audit history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32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48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Campaign metrics, events, exports/audit views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Testing &amp; production hardening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40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56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Functional/integration tests, security checks, load testing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Deployment &amp; handover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32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40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Client environment deployment, runbooks, training, acceptance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TOTAL</w:t>
            </w:r>
          </w:p>
        </w:tc>
        <w:tc>
          <w:tcPr>
            <w:tcW w:type="dxa" w:w="2520"/>
            <w:vAlign w:val="center"/>
          </w:tcPr>
          <w:p>
            <w:r>
              <w:t>400</w:t>
            </w:r>
          </w:p>
        </w:tc>
        <w:tc>
          <w:tcPr>
            <w:tcW w:type="dxa" w:w="2520"/>
            <w:vAlign w:val="center"/>
          </w:tcPr>
          <w:p>
            <w:r>
              <w:t>580</w:t>
            </w:r>
          </w:p>
        </w:tc>
        <w:tc>
          <w:tcPr>
            <w:tcW w:type="dxa" w:w="2520"/>
            <w:vAlign w:val="center"/>
          </w:tcPr>
          <w:p>
            <w:r>
              <w:t>Estimated MVP engineering effort</w:t>
            </w:r>
          </w:p>
        </w:tc>
      </w:tr>
    </w:tbl>
    <w:p>
      <w:pPr>
        <w:pStyle w:val="Heading1"/>
        <w:pageBreakBefore/>
      </w:pPr>
      <w:r>
        <w:t>4. Rate-based build-cost scenarios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65D"/>
          </w:tcPr>
          <w:p>
            <w:r>
              <w:t>Blended supplier rate</w:t>
            </w:r>
          </w:p>
        </w:tc>
        <w:tc>
          <w:tcPr>
            <w:tcW w:type="dxa" w:w="2520"/>
            <w:vAlign w:val="center"/>
            <w:shd w:fill="17365D"/>
          </w:tcPr>
          <w:p>
            <w:r>
              <w:t>Low (400 h)</w:t>
            </w:r>
          </w:p>
        </w:tc>
        <w:tc>
          <w:tcPr>
            <w:tcW w:type="dxa" w:w="2520"/>
            <w:vAlign w:val="center"/>
            <w:shd w:fill="17365D"/>
          </w:tcPr>
          <w:p>
            <w:r>
              <w:t>High (580 h)</w:t>
            </w:r>
          </w:p>
        </w:tc>
        <w:tc>
          <w:tcPr>
            <w:tcW w:type="dxa" w:w="2520"/>
            <w:vAlign w:val="center"/>
            <w:shd w:fill="17365D"/>
          </w:tcPr>
          <w:p>
            <w:r>
              <w:t>Use case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$35/hour</w:t>
            </w:r>
          </w:p>
        </w:tc>
        <w:tc>
          <w:tcPr>
            <w:tcW w:type="dxa" w:w="2520"/>
            <w:vAlign w:val="center"/>
          </w:tcPr>
          <w:p>
            <w:r>
              <w:t>$14,000</w:t>
            </w:r>
          </w:p>
        </w:tc>
        <w:tc>
          <w:tcPr>
            <w:tcW w:type="dxa" w:w="2520"/>
            <w:vAlign w:val="center"/>
          </w:tcPr>
          <w:p>
            <w:r>
              <w:t>$20,300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Lean/low-cost delivery benchmark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$50/hour</w:t>
            </w:r>
          </w:p>
        </w:tc>
        <w:tc>
          <w:tcPr>
            <w:tcW w:type="dxa" w:w="2520"/>
            <w:vAlign w:val="center"/>
          </w:tcPr>
          <w:p>
            <w:r>
              <w:t>$20,000</w:t>
            </w:r>
          </w:p>
        </w:tc>
        <w:tc>
          <w:tcPr>
            <w:tcW w:type="dxa" w:w="2520"/>
            <w:vAlign w:val="center"/>
          </w:tcPr>
          <w:p>
            <w:r>
              <w:t>$29,000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Mid-range planning benchmark used in this pack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$75/hour</w:t>
            </w:r>
          </w:p>
        </w:tc>
        <w:tc>
          <w:tcPr>
            <w:tcW w:type="dxa" w:w="2520"/>
            <w:vAlign w:val="center"/>
          </w:tcPr>
          <w:p>
            <w:r>
              <w:t>$30,000</w:t>
            </w:r>
          </w:p>
        </w:tc>
        <w:tc>
          <w:tcPr>
            <w:tcW w:type="dxa" w:w="2520"/>
            <w:vAlign w:val="center"/>
          </w:tcPr>
          <w:p>
            <w:r>
              <w:t>$43,500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Senior/specialist delivery benchmark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$100/hour</w:t>
            </w:r>
          </w:p>
        </w:tc>
        <w:tc>
          <w:tcPr>
            <w:tcW w:type="dxa" w:w="2520"/>
            <w:vAlign w:val="center"/>
          </w:tcPr>
          <w:p>
            <w:r>
              <w:t>$40,000</w:t>
            </w:r>
          </w:p>
        </w:tc>
        <w:tc>
          <w:tcPr>
            <w:tcW w:type="dxa" w:w="2520"/>
            <w:vAlign w:val="center"/>
          </w:tcPr>
          <w:p>
            <w:r>
              <w:t>$58,000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Higher-cost consultancy benchmark</w:t>
            </w:r>
          </w:p>
        </w:tc>
      </w:tr>
    </w:tbl>
    <w:p>
      <w:r>
        <w:t>For a fixed-price project, the supplier may add contingency for requirement uncertainty, rework, project management, warranty obligations and commercial risk. Change requests should be quoted separately under the change-control process in DOC-00 and DOC-02.</w:t>
      </w:r>
    </w:p>
    <w:p>
      <w:pPr>
        <w:pStyle w:val="Heading1"/>
        <w:pageBreakBefore/>
      </w:pPr>
      <w:r>
        <w:t>5. Client-owned recurring operating costs</w:t>
      </w:r>
    </w:p>
    <w:p>
      <w:r>
        <w:t>Because the system is deployed and handed over into client-controlled infrastructure, these costs are normally paid directly by the client to the selected vendors rather than passed through the supplier.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Typical planning range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Billing cycle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Domain 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$10-$30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Per year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Existing client domain may be used; separate marketing subdomain usually does not require another domain purchase.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Application/server hosting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$30-$100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Per month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Typical starting range for a modest VPS/cloud deployment; topology can be split as load grows.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Backups/snapshots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$5-$30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Per month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Depends on retention, database size and provider.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Object storage/log retention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$5-$40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Per month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Optional/usage-based; for assets, exports and retained logs.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Monitoring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$0-$50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Per month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Open-source tooling can be self-hosted; managed monitoring costs extra.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Outbound MTA/deliverability operations</w:t>
            </w:r>
          </w:p>
        </w:tc>
        <w:tc>
          <w:tcPr>
            <w:tcW w:type="dxa" w:w="2520"/>
            <w:vAlign w:val="center"/>
          </w:tcPr>
          <w:p>
            <w:r>
              <w:t>$0-$200+</w:t>
            </w:r>
          </w:p>
        </w:tc>
        <w:tc>
          <w:tcPr>
            <w:tcW w:type="dxa" w:w="2520"/>
            <w:vAlign w:val="center"/>
          </w:tcPr>
          <w:p>
            <w:r>
              <w:t>Per month</w:t>
            </w:r>
          </w:p>
        </w:tc>
        <w:tc>
          <w:tcPr>
            <w:tcW w:type="dxa" w:w="2520"/>
            <w:vAlign w:val="center"/>
          </w:tcPr>
          <w:p>
            <w:r>
              <w:t>No mandatory per-message relay fee for direct-to-MX; allowance covers optional monitoring, extra IPs/tools or contingency relay. Current vendor pricing not verified.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t>Static/dedicated sending IP + deliverability tooling</w:t>
            </w:r>
          </w:p>
        </w:tc>
        <w:tc>
          <w:tcPr>
            <w:tcW w:type="dxa" w:w="2520"/>
            <w:vAlign w:val="center"/>
          </w:tcPr>
          <w:p>
            <w:r>
              <w:t>$0-$100+</w:t>
            </w:r>
          </w:p>
        </w:tc>
        <w:tc>
          <w:tcPr>
            <w:tcW w:type="dxa" w:w="2520"/>
            <w:vAlign w:val="center"/>
          </w:tcPr>
          <w:p>
            <w:r>
              <w:t>Per month</w:t>
            </w:r>
          </w:p>
        </w:tc>
        <w:tc>
          <w:tcPr>
            <w:tcW w:type="dxa" w:w="2520"/>
            <w:vAlign w:val="center"/>
          </w:tcPr>
          <w:p>
            <w:r>
              <w:t>Infrastructure-dependent; confirm public IPv4/rDNS and monitoring pricing before purchase.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TLS certificate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Per year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Can use Let's Encrypt where appropriate.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Core application stack licenses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Ongoing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Planned stack is based primarily on open-source components.</w:t>
            </w:r>
          </w:p>
        </w:tc>
      </w:tr>
    </w:tbl>
    <w:p>
      <w:r>
        <w:t>Indicative recurring budget is now dominated by VPS/static-IP, backups and optional monitoring/contingency relay rather than per-message email-provider fees. Confirm current vendor pricing before approval.</w:t>
      </w:r>
    </w:p>
    <w:p>
      <w:pPr>
        <w:pStyle w:val="Heading1"/>
        <w:pageBreakBefore/>
      </w:pPr>
      <w:r>
        <w:t>6. One-time external/client costs</w:t>
      </w:r>
    </w:p>
    <w:p>
      <w:pPr>
        <w:pStyle w:val="ListBullet"/>
      </w:pPr>
      <w:r>
        <w:t>Initial domain purchase if the client does not already own an appropriate domain.</w:t>
      </w:r>
    </w:p>
    <w:p>
      <w:pPr>
        <w:pStyle w:val="ListBullet"/>
      </w:pPr>
      <w:r>
        <w:t>Any paid hosting/network onboarding, additional public IPs, deliverability monitoring or optional fallback SMTP relay selected by the client.</w:t>
      </w:r>
    </w:p>
    <w:p>
      <w:pPr>
        <w:pStyle w:val="ListBullet"/>
      </w:pPr>
      <w:r>
        <w:t>Cloud/server deposits or prepaid credits where required by the selected infrastructure provider.</w:t>
      </w:r>
    </w:p>
    <w:p>
      <w:pPr>
        <w:pStyle w:val="ListBullet"/>
      </w:pPr>
      <w:r>
        <w:t>Independent legal/compliance review requested by the client.</w:t>
      </w:r>
    </w:p>
    <w:p>
      <w:pPr>
        <w:pStyle w:val="ListBullet"/>
      </w:pPr>
      <w:r>
        <w:t>Optional commercial email-template builder or third-party validation service if the client chooses tools outside the open-source baseline.</w:t>
      </w:r>
    </w:p>
    <w:p>
      <w:pPr>
        <w:pStyle w:val="Heading1"/>
      </w:pPr>
      <w:r>
        <w:t>7. Optional post-handover support budget</w:t>
      </w:r>
    </w:p>
    <w:p>
      <w:r>
        <w:t>Ongoing support is not part of the default build-deploy-handover engagement. If offered, it should be contracted separately. The following are placeholders for commercial planning only: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Support model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Illustrative range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Typical coverage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Ad-hoc support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$50-$100/hour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Bug investigation, configuration help, minor changes; billed as used.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Maintenance retainer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$300-$1,000/month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Limited support hours, dependency/security updates, periodic health review.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Enhanced support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$1,000-$2,500+/month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Faster response targets, more included hours, proactive maintenance; scope must be defined.</w:t>
            </w:r>
          </w:p>
        </w:tc>
      </w:tr>
    </w:tbl>
    <w:p>
      <w:pPr>
        <w:pStyle w:val="Heading1"/>
      </w:pPr>
      <w:r>
        <w:t>8. Suggested commercial payment milestones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Suggested share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Trigger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Project kickoff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30%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Contract/SOW signed and project starts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Foundation &amp; UX baseline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25%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Core architecture, auth, app shell and approved wireframes available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Feature-complete staging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25%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MVP feature set deployed to staging and integration testing underway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Acceptance &amp; handover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20%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Acceptance criteria passed and handover package delivered</w:t>
            </w:r>
          </w:p>
        </w:tc>
      </w:tr>
    </w:tbl>
    <w:p>
      <w:r>
        <w:t>Payment milestones are a commercial template only and should be reconciled with the supplier's standard contract, taxes and client procurement requirements.</w:t>
      </w:r>
    </w:p>
    <w:p>
      <w:pPr>
        <w:pStyle w:val="Heading1"/>
        <w:pageBreakBefore/>
      </w:pPr>
      <w:r>
        <w:t>9. Cost responsibility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Cost / obligation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Supplier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</w:r>
            <w:r>
              <w:rPr>
                <w:rFonts w:ascii="Aptos" w:hAnsi="Aptos"/>
                <w:b/>
                <w:color w:val="FFFFFF"/>
                <w:sz w:val="19"/>
              </w:rPr>
              <w:t>Client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Software design/build effort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Included in project fee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Pays agreed project fee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Deployment labor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Included if within agreed scope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Provides environment/access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Cloud/VPS hosting</w:t>
            </w:r>
          </w:p>
        </w:tc>
        <w:tc>
          <w:tcPr>
            <w:tcW w:type="dxa" w:w="3360"/>
            <w:vAlign w:val="center"/>
          </w:tcPr>
          <w:p>
            <w:r>
              <w:t>No recurring obligation after handover</w:t>
            </w:r>
          </w:p>
        </w:tc>
        <w:tc>
          <w:tcPr>
            <w:tcW w:type="dxa" w:w="3360"/>
            <w:vAlign w:val="center"/>
          </w:tcPr>
          <w:p>
            <w:r>
              <w:t>Owns and pays hosting/network provider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Domain/DNS</w:t>
            </w:r>
          </w:p>
        </w:tc>
        <w:tc>
          <w:tcPr>
            <w:tcW w:type="dxa" w:w="3360"/>
            <w:vAlign w:val="center"/>
          </w:tcPr>
          <w:p>
            <w:r>
              <w:t>Configures as scoped</w:t>
            </w:r>
          </w:p>
        </w:tc>
        <w:tc>
          <w:tcPr>
            <w:tcW w:type="dxa" w:w="3360"/>
            <w:vAlign w:val="center"/>
          </w:tcPr>
          <w:p>
            <w:r>
              <w:t>Owns and pays DNS/domain provider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>
              <w:t>Outbound MTA</w:t>
            </w:r>
          </w:p>
        </w:tc>
        <w:tc>
          <w:tcPr>
            <w:tcW w:type="dxa" w:w="3360"/>
            <w:vAlign w:val="center"/>
          </w:tcPr>
          <w:p>
            <w:r>
              <w:t>Implements and hands over client-controlled MTA</w:t>
            </w:r>
          </w:p>
        </w:tc>
        <w:tc>
          <w:tcPr>
            <w:tcW w:type="dxa" w:w="3360"/>
            <w:vAlign w:val="center"/>
          </w:tcPr>
          <w:p>
            <w:r>
              <w:t>Owns/operates sending IP, DNS and reputation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Production recipient data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Does not supply list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Owns and is responsible for data/use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Post-handover operations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Not included by default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Operates and monitors system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Support/maintenance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Only if separately contracted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</w:r>
            <w:r>
              <w:rPr>
                <w:rFonts w:ascii="Aptos" w:hAnsi="Aptos"/>
                <w:b w:val="0"/>
                <w:sz w:val="19"/>
              </w:rPr>
              <w:t>Optional purchase</w:t>
            </w:r>
          </w:p>
        </w:tc>
      </w:tr>
    </w:tbl>
    <w:p>
      <w:pPr>
        <w:pStyle w:val="Heading1"/>
      </w:pPr>
      <w:r>
        <w:t>10. Quote exclusions and cost risks</w:t>
      </w:r>
    </w:p>
    <w:p>
      <w:pPr>
        <w:pStyle w:val="ListBullet"/>
      </w:pPr>
      <w:r>
        <w:t>Hosting, monitoring or optional relay price changes, currency movements, taxes and usage overages.</w:t>
      </w:r>
    </w:p>
    <w:p>
      <w:pPr>
        <w:pStyle w:val="ListBullet"/>
      </w:pPr>
      <w:r>
        <w:t>Major scope additions such as multi-tenancy, billing/subscriptions, multi-region/shared MTA infrastructure, advanced automation, CRM or multichannel messaging.</w:t>
      </w:r>
    </w:p>
    <w:p>
      <w:pPr>
        <w:pStyle w:val="ListBullet"/>
      </w:pPr>
      <w:r>
        <w:t>Unplanned migrations from unsupported legacy systems or large-scale data cleansing.</w:t>
      </w:r>
    </w:p>
    <w:p>
      <w:pPr>
        <w:pStyle w:val="ListBullet"/>
      </w:pPr>
      <w:r>
        <w:t>Extended warranty/support beyond the period stated in the commercial agreement.</w:t>
      </w:r>
    </w:p>
    <w:p>
      <w:pPr>
        <w:pStyle w:val="ListBullet"/>
      </w:pPr>
      <w:r>
        <w:t>Legal services, regulatory filings or deliverability guarantees.</w:t>
      </w:r>
    </w:p>
    <w:p>
      <w:pPr>
        <w:pStyle w:val="ListBullet"/>
      </w:pPr>
      <w:r>
        <w:t>Costs caused by client abuse, hosting/network suspension, blocklist/reputation remediation or replacement infrastructure after handover.</w:t>
      </w:r>
    </w:p>
    <w:p>
      <w:pPr>
        <w:pStyle w:val="Heading1"/>
      </w:pPr>
      <w:r>
        <w:t>11. Budget decision before contract signature</w:t>
      </w:r>
    </w:p>
    <w:p>
      <w:r>
        <w:t>Before issuing the final proposal, replace the planning numbers in this document with the supplier's approved hourly/blended rate or fixed project price, confirm the client-selected infrastructure, static-IP and monitoring costs, obtain current vendor quotations, state applicable taxes, and attach the resulting commercial schedule to the signed agreement.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rFonts w:ascii="Aptos" w:hAnsi="Aptos"/>
              <w:color w:val="666666"/>
              <w:sz w:val="16"/>
            </w:rPr>
            <w:t>Project Documentation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ptos" w:hAnsi="Aptos"/>
              <w:color w:val="666666"/>
              <w:sz w:val="16"/>
            </w:rPr>
            <w:t>v0.3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pPr>
            <w:jc w:val="left"/>
          </w:pPr>
          <w:r>
            <w:rPr>
              <w:rFonts w:ascii="Aptos" w:hAnsi="Aptos"/>
              <w:b/>
              <w:color w:val="17365D"/>
              <w:sz w:val="17"/>
            </w:rPr>
            <w:t>Email Marketing Platform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>DOC-09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