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4E79"/>
          <w:sz w:val="52"/>
          <w:szCs w:val="52"/>
        </w:rPr>
        <w:t xml:space="preserve">Four People, Four Skills, One Merge</w:t>
      </w:r>
    </w:p>
    <w:p>
      <w:pPr>
        <w:pBdr>
          <w:bottom w:val="single" w:color="1F4E79" w:sz="8" w:space="8"/>
        </w:pBdr>
        <w:spacing w:after="240"/>
      </w:pPr>
      <w:r>
        <w:rPr>
          <w:color w:val="595959"/>
          <w:sz w:val="28"/>
          <w:szCs w:val="28"/>
        </w:rPr>
        <w:t xml:space="preserve">How Group 7 built its reusable Shared Skill</w:t>
      </w:r>
    </w:p>
    <w:p>
      <w:pPr>
        <w:spacing w:after="140"/>
      </w:pPr>
      <w:r>
        <w:rPr>
          <w:i w:val="false"/>
          <w:iCs w:val="false"/>
          <w:sz w:val="22"/>
          <w:szCs w:val="22"/>
        </w:rPr>
        <w:t xml:space="preserve">AI Product Sprint 2026  ·  Challenge #6, Pediatric Pulmonology Pre-Visit Intake</w:t>
      </w:r>
    </w:p>
    <w:p>
      <w:pPr>
        <w:spacing w:after="140"/>
      </w:pPr>
      <w:r>
        <w:rPr>
          <w:i w:val="false"/>
          <w:iCs w:val="false"/>
          <w:sz w:val="22"/>
          <w:szCs w:val="22"/>
        </w:rPr>
        <w:t xml:space="preserve">Gal Yeshayahu  ·  Anat Katzir  ·  Mikhail Yagudaev  ·  Matan Rosen</w:t>
      </w:r>
    </w:p>
    <w:p>
      <w:pPr>
        <w:spacing w:after="140"/>
      </w:pPr>
      <w:r>
        <w:rPr>
          <w:i/>
          <w:iCs/>
          <w:color w:val="595959"/>
          <w:sz w:val="22"/>
          <w:szCs w:val="22"/>
        </w:rPr>
        <w:t xml:space="preserve">Process documentation, 31 July 2026</w:t>
      </w:r>
    </w:p>
    <w:p>
      <w:pPr>
        <w:spacing w:after="120"/>
      </w:pPr>
    </w:p>
    <w:p>
      <w:pPr>
        <w:pBdr>
          <w:left w:val="single" w:color="1F4E79" w:sz="18" w:space="12"/>
        </w:pBdr>
        <w:spacing w:after="180" w:before="120"/>
        <w:ind w:left="360" w:right="360"/>
      </w:pPr>
      <w:r>
        <w:rPr>
          <w:i/>
          <w:iCs/>
          <w:color w:val="1F4E79"/>
          <w:sz w:val="22"/>
          <w:szCs w:val="22"/>
        </w:rPr>
        <w:t xml:space="preserve">Four people were asked to produce one shared skill. They produced four, independently, without coordinating. Three of them turned out to be three different slices of the same job. This is the record of what that revealed.</w:t>
      </w:r>
    </w:p>
    <w:p>
      <w:pPr>
        <w:pStyle w:val="Heading1"/>
        <w:spacing w:after="160" w:before="360"/>
      </w:pPr>
      <w:r>
        <w:t xml:space="preserve">1. What happened</w:t>
      </w:r>
    </w:p>
    <w:p>
      <w:pPr>
        <w:spacing w:after="140"/>
      </w:pPr>
      <w:r>
        <w:rPr>
          <w:i w:val="false"/>
          <w:iCs w:val="false"/>
          <w:sz w:val="22"/>
          <w:szCs w:val="22"/>
        </w:rPr>
        <w:t xml:space="preserve">The sprint brief asks each team for one reusable Shared Skill. What our team actually produced, over roughly one working day and without anyone coordinating it, was four separate skills committed to the same repository by four different people.</w:t>
      </w:r>
    </w:p>
    <w:p>
      <w:pPr>
        <w:spacing w:after="140"/>
      </w:pPr>
      <w:r>
        <w:rPr>
          <w:i w:val="false"/>
          <w:iCs w:val="false"/>
          <w:sz w:val="22"/>
          <w:szCs w:val="22"/>
        </w:rPr>
        <w:t xml:space="preserve">That was not the plan. It was also, in hindsight, the most useful thing that could have happened, because four independent attempts at the same problem space told us things that one coordinated attempt never would have. The parallel work surfaced which rules were genuinely load-bearing (the ones everybody arrived at separately) and which were one person's preference. It also produced a natural division of the problem that none of us designed.</w:t>
      </w:r>
    </w:p>
    <w:p>
      <w:pPr>
        <w:spacing w:after="140"/>
      </w:pPr>
      <w:r>
        <w:rPr>
          <w:i w:val="false"/>
          <w:iCs w:val="false"/>
          <w:sz w:val="22"/>
          <w:szCs w:val="22"/>
        </w:rPr>
        <w:t xml:space="preserve">This document records the four skills, how they were scattered, what the comparison revealed, and how they were merged into one.</w:t>
      </w:r>
    </w:p>
    <w:p>
      <w:pPr>
        <w:pStyle w:val="Heading1"/>
        <w:spacing w:after="160" w:before="360"/>
      </w:pPr>
      <w:r>
        <w:t xml:space="preserve">2. The four skills</w:t>
      </w:r>
    </w:p>
    <w:p>
      <w:pPr>
        <w:spacing w:after="140"/>
      </w:pPr>
      <w:r>
        <w:rPr>
          <w:i w:val="false"/>
          <w:iCs w:val="false"/>
          <w:sz w:val="22"/>
          <w:szCs w:val="22"/>
        </w:rPr>
        <w:t xml:space="preserve">Each team member built one, in isolation, on the same day.</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3200"/>
        <w:gridCol w:w="2600"/>
      </w:tblGrid>
      <w:tr>
        <w:trPr>
          <w:cantSplit/>
          <w:tblHeader/>
        </w:trPr>
        <w:tc>
          <w:tcPr>
            <w:tcW w:type="dxa" w:w="1300"/>
            <w:shd w:fill="1F4E79" w:color="auto" w:val="clear"/>
            <w:tcMar>
              <w:top w:type="dxa" w:w="80"/>
              <w:left w:type="dxa" w:w="120"/>
              <w:bottom w:type="dxa" w:w="80"/>
              <w:right w:type="dxa" w:w="120"/>
            </w:tcMar>
          </w:tcPr>
          <w:p>
            <w:pPr>
              <w:spacing w:after="0"/>
            </w:pPr>
            <w:r>
              <w:rPr>
                <w:b/>
                <w:bCs/>
                <w:color w:val="FFFFFF"/>
                <w:sz w:val="19"/>
                <w:szCs w:val="19"/>
              </w:rPr>
              <w:t xml:space="preserve">Author</w:t>
            </w:r>
          </w:p>
        </w:tc>
        <w:tc>
          <w:tcPr>
            <w:tcW w:type="dxa" w:w="1900"/>
            <w:shd w:fill="1F4E79" w:color="auto" w:val="clear"/>
            <w:tcMar>
              <w:top w:type="dxa" w:w="80"/>
              <w:left w:type="dxa" w:w="120"/>
              <w:bottom w:type="dxa" w:w="80"/>
              <w:right w:type="dxa" w:w="120"/>
            </w:tcMar>
          </w:tcPr>
          <w:p>
            <w:pPr>
              <w:spacing w:after="0"/>
            </w:pPr>
            <w:r>
              <w:rPr>
                <w:b/>
                <w:bCs/>
                <w:color w:val="FFFFFF"/>
                <w:sz w:val="19"/>
                <w:szCs w:val="19"/>
              </w:rPr>
              <w:t xml:space="preserve">Skill</w:t>
            </w:r>
          </w:p>
        </w:tc>
        <w:tc>
          <w:tcPr>
            <w:tcW w:type="dxa" w:w="3200"/>
            <w:shd w:fill="1F4E79" w:color="auto" w:val="clear"/>
            <w:tcMar>
              <w:top w:type="dxa" w:w="80"/>
              <w:left w:type="dxa" w:w="120"/>
              <w:bottom w:type="dxa" w:w="80"/>
              <w:right w:type="dxa" w:w="120"/>
            </w:tcMar>
          </w:tcPr>
          <w:p>
            <w:pPr>
              <w:spacing w:after="0"/>
            </w:pPr>
            <w:r>
              <w:rPr>
                <w:b/>
                <w:bCs/>
                <w:color w:val="FFFFFF"/>
                <w:sz w:val="19"/>
                <w:szCs w:val="19"/>
              </w:rPr>
              <w:t xml:space="preserve">What it does</w:t>
            </w:r>
          </w:p>
        </w:tc>
        <w:tc>
          <w:tcPr>
            <w:tcW w:type="dxa" w:w="2600"/>
            <w:shd w:fill="1F4E79" w:color="auto" w:val="clear"/>
            <w:tcMar>
              <w:top w:type="dxa" w:w="80"/>
              <w:left w:type="dxa" w:w="120"/>
              <w:bottom w:type="dxa" w:w="80"/>
              <w:right w:type="dxa" w:w="120"/>
            </w:tcMar>
          </w:tcPr>
          <w:p>
            <w:pPr>
              <w:spacing w:after="0"/>
            </w:pPr>
            <w:r>
              <w:rPr>
                <w:b/>
                <w:bCs/>
                <w:color w:val="FFFFFF"/>
                <w:sz w:val="19"/>
                <w:szCs w:val="19"/>
              </w:rPr>
              <w:t xml:space="preserve">Where it landed</w:t>
            </w:r>
          </w:p>
        </w:tc>
      </w:tr>
      <w:tr>
        <w:trPr>
          <w:cantSplit/>
          <w:tblHeader w:val="false"/>
        </w:trPr>
        <w:tc>
          <w:tcPr>
            <w:tcW w:type="dxa" w:w="1300"/>
            <w:shd w:fill="FFFFFF" w:color="auto" w:val="clear"/>
            <w:tcMar>
              <w:top w:type="dxa" w:w="80"/>
              <w:left w:type="dxa" w:w="120"/>
              <w:bottom w:type="dxa" w:w="80"/>
              <w:right w:type="dxa" w:w="120"/>
            </w:tcMar>
          </w:tcPr>
          <w:p>
            <w:pPr>
              <w:spacing w:after="0"/>
            </w:pPr>
            <w:r>
              <w:rPr>
                <w:b w:val="false"/>
                <w:bCs w:val="false"/>
                <w:color w:val="000000"/>
                <w:sz w:val="19"/>
                <w:szCs w:val="19"/>
              </w:rPr>
              <w:t xml:space="preserve">Matan</w:t>
            </w:r>
          </w:p>
        </w:tc>
        <w:tc>
          <w:tcPr>
            <w:tcW w:type="dxa" w:w="1900"/>
            <w:shd w:fill="FFFFFF" w:color="auto" w:val="clear"/>
            <w:tcMar>
              <w:top w:type="dxa" w:w="80"/>
              <w:left w:type="dxa" w:w="120"/>
              <w:bottom w:type="dxa" w:w="80"/>
              <w:right w:type="dxa" w:w="120"/>
            </w:tcMar>
          </w:tcPr>
          <w:p>
            <w:pPr>
              <w:spacing w:after="0"/>
            </w:pPr>
            <w:r>
              <w:rPr>
                <w:b w:val="false"/>
                <w:bCs w:val="false"/>
                <w:color w:val="000000"/>
                <w:sz w:val="19"/>
                <w:szCs w:val="19"/>
              </w:rPr>
              <w:t xml:space="preserve">interview-synth</w:t>
            </w:r>
          </w:p>
        </w:tc>
        <w:tc>
          <w:tcPr>
            <w:tcW w:type="dxa" w:w="3200"/>
            <w:shd w:fill="FFFFFF" w:color="auto" w:val="clear"/>
            <w:tcMar>
              <w:top w:type="dxa" w:w="80"/>
              <w:left w:type="dxa" w:w="120"/>
              <w:bottom w:type="dxa" w:w="80"/>
              <w:right w:type="dxa" w:w="120"/>
            </w:tcMar>
          </w:tcPr>
          <w:p>
            <w:pPr>
              <w:spacing w:after="0"/>
            </w:pPr>
            <w:r>
              <w:rPr>
                <w:b w:val="false"/>
                <w:bCs w:val="false"/>
                <w:color w:val="000000"/>
                <w:sz w:val="19"/>
                <w:szCs w:val="19"/>
              </w:rPr>
              <w:t xml:space="preserve">Generates grounded, clearly-labelled synthetic interviews when a segment cannot be reached yet</w:t>
            </w:r>
          </w:p>
        </w:tc>
        <w:tc>
          <w:tcPr>
            <w:tcW w:type="dxa" w:w="26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 with references/ and assets/. The only correctly structured one</w:t>
            </w:r>
          </w:p>
        </w:tc>
      </w:tr>
      <w:tr>
        <w:trPr>
          <w:cantSplit/>
          <w:tblHeader w:val="false"/>
        </w:trPr>
        <w:tc>
          <w:tcPr>
            <w:tcW w:type="dxa" w:w="1300"/>
            <w:shd w:fill="FFFFFF" w:color="auto" w:val="clear"/>
            <w:tcMar>
              <w:top w:type="dxa" w:w="80"/>
              <w:left w:type="dxa" w:w="120"/>
              <w:bottom w:type="dxa" w:w="80"/>
              <w:right w:type="dxa" w:w="120"/>
            </w:tcMar>
          </w:tcPr>
          <w:p>
            <w:pPr>
              <w:spacing w:after="0"/>
            </w:pPr>
            <w:r>
              <w:rPr>
                <w:b w:val="false"/>
                <w:bCs w:val="false"/>
                <w:color w:val="000000"/>
                <w:sz w:val="19"/>
                <w:szCs w:val="19"/>
              </w:rPr>
              <w:t xml:space="preserve">Anat</w:t>
            </w:r>
          </w:p>
        </w:tc>
        <w:tc>
          <w:tcPr>
            <w:tcW w:type="dxa" w:w="1900"/>
            <w:shd w:fill="FFFFFF" w:color="auto" w:val="clear"/>
            <w:tcMar>
              <w:top w:type="dxa" w:w="80"/>
              <w:left w:type="dxa" w:w="120"/>
              <w:bottom w:type="dxa" w:w="80"/>
              <w:right w:type="dxa" w:w="120"/>
            </w:tcMar>
          </w:tcPr>
          <w:p>
            <w:pPr>
              <w:spacing w:after="0"/>
            </w:pPr>
            <w:r>
              <w:rPr>
                <w:b w:val="false"/>
                <w:bCs w:val="false"/>
                <w:color w:val="000000"/>
                <w:sz w:val="19"/>
                <w:szCs w:val="19"/>
              </w:rPr>
              <w:t xml:space="preserve">interview-synthesis</w:t>
            </w:r>
          </w:p>
        </w:tc>
        <w:tc>
          <w:tcPr>
            <w:tcW w:type="dxa" w:w="3200"/>
            <w:shd w:fill="FFFFFF" w:color="auto" w:val="clear"/>
            <w:tcMar>
              <w:top w:type="dxa" w:w="80"/>
              <w:left w:type="dxa" w:w="120"/>
              <w:bottom w:type="dxa" w:w="80"/>
              <w:right w:type="dxa" w:w="120"/>
            </w:tcMar>
          </w:tcPr>
          <w:p>
            <w:pPr>
              <w:spacing w:after="0"/>
            </w:pPr>
            <w:r>
              <w:rPr>
                <w:b w:val="false"/>
                <w:bCs w:val="false"/>
                <w:color w:val="000000"/>
                <w:sz w:val="19"/>
                <w:szCs w:val="19"/>
              </w:rPr>
              <w:t xml:space="preserve">Turns raw transcripts into an evidence-weighted findings report, grading every claim</w:t>
            </w:r>
          </w:p>
        </w:tc>
        <w:tc>
          <w:tcPr>
            <w:tcW w:type="dxa" w:w="2600"/>
            <w:shd w:fill="FFFFFF" w:color="auto" w:val="clear"/>
            <w:tcMar>
              <w:top w:type="dxa" w:w="80"/>
              <w:left w:type="dxa" w:w="120"/>
              <w:bottom w:type="dxa" w:w="80"/>
              <w:right w:type="dxa" w:w="120"/>
            </w:tcMar>
          </w:tcPr>
          <w:p>
            <w:pPr>
              <w:spacing w:after="0"/>
            </w:pPr>
            <w:r>
              <w:rPr>
                <w:b w:val="false"/>
                <w:bCs w:val="false"/>
                <w:color w:val="000000"/>
                <w:sz w:val="19"/>
                <w:szCs w:val="19"/>
              </w:rPr>
              <w:t xml:space="preserve">Committed twice: first as a zipped .skill bundle inside another skill's folder, then deleted and re-uploaded unpacked</w:t>
            </w:r>
          </w:p>
        </w:tc>
      </w:tr>
      <w:tr>
        <w:trPr>
          <w:cantSplit/>
          <w:tblHeader w:val="false"/>
        </w:trPr>
        <w:tc>
          <w:tcPr>
            <w:tcW w:type="dxa" w:w="1300"/>
            <w:shd w:fill="FFFFFF" w:color="auto" w:val="clear"/>
            <w:tcMar>
              <w:top w:type="dxa" w:w="80"/>
              <w:left w:type="dxa" w:w="120"/>
              <w:bottom w:type="dxa" w:w="80"/>
              <w:right w:type="dxa" w:w="120"/>
            </w:tcMar>
          </w:tcPr>
          <w:p>
            <w:pPr>
              <w:spacing w:after="0"/>
            </w:pPr>
            <w:r>
              <w:rPr>
                <w:b w:val="false"/>
                <w:bCs w:val="false"/>
                <w:color w:val="000000"/>
                <w:sz w:val="19"/>
                <w:szCs w:val="19"/>
              </w:rPr>
              <w:t xml:space="preserve">Gal</w:t>
            </w:r>
          </w:p>
        </w:tc>
        <w:tc>
          <w:tcPr>
            <w:tcW w:type="dxa" w:w="1900"/>
            <w:shd w:fill="FFFFFF" w:color="auto" w:val="clear"/>
            <w:tcMar>
              <w:top w:type="dxa" w:w="80"/>
              <w:left w:type="dxa" w:w="120"/>
              <w:bottom w:type="dxa" w:w="80"/>
              <w:right w:type="dxa" w:w="120"/>
            </w:tcMar>
          </w:tcPr>
          <w:p>
            <w:pPr>
              <w:spacing w:after="0"/>
            </w:pPr>
            <w:r>
              <w:rPr>
                <w:b w:val="false"/>
                <w:bCs w:val="false"/>
                <w:color w:val="000000"/>
                <w:sz w:val="19"/>
                <w:szCs w:val="19"/>
              </w:rPr>
              <w:t xml:space="preserve">Stakeholder Panel</w:t>
            </w:r>
          </w:p>
        </w:tc>
        <w:tc>
          <w:tcPr>
            <w:tcW w:type="dxa" w:w="3200"/>
            <w:shd w:fill="FFFFFF" w:color="auto" w:val="clear"/>
            <w:tcMar>
              <w:top w:type="dxa" w:w="80"/>
              <w:left w:type="dxa" w:w="120"/>
              <w:bottom w:type="dxa" w:w="80"/>
              <w:right w:type="dxa" w:w="120"/>
            </w:tcMar>
          </w:tcPr>
          <w:p>
            <w:pPr>
              <w:spacing w:after="0"/>
            </w:pPr>
            <w:r>
              <w:rPr>
                <w:b w:val="false"/>
                <w:bCs w:val="false"/>
                <w:color w:val="000000"/>
                <w:sz w:val="19"/>
                <w:szCs w:val="19"/>
              </w:rPr>
              <w:t xml:space="preserve">Replays the stakeholders you interviewed so they react, in their own voices, to a new idea</w:t>
            </w:r>
          </w:p>
        </w:tc>
        <w:tc>
          <w:tcPr>
            <w:tcW w:type="dxa" w:w="2600"/>
            <w:shd w:fill="FFFFFF" w:color="auto" w:val="clear"/>
            <w:tcMar>
              <w:top w:type="dxa" w:w="80"/>
              <w:left w:type="dxa" w:w="120"/>
              <w:bottom w:type="dxa" w:w="80"/>
              <w:right w:type="dxa" w:w="120"/>
            </w:tcMar>
          </w:tcPr>
          <w:p>
            <w:pPr>
              <w:spacing w:after="0"/>
            </w:pPr>
            <w:r>
              <w:rPr>
                <w:b w:val="false"/>
                <w:bCs w:val="false"/>
                <w:color w:val="000000"/>
                <w:sz w:val="19"/>
                <w:szCs w:val="19"/>
              </w:rPr>
              <w:t xml:space="preserve">A loose file named interview-synth-Gal, no extension, no folder, no frontmatter</w:t>
            </w:r>
          </w:p>
        </w:tc>
      </w:tr>
      <w:tr>
        <w:trPr>
          <w:cantSplit/>
          <w:tblHeader w:val="false"/>
        </w:trPr>
        <w:tc>
          <w:tcPr>
            <w:tcW w:type="dxa" w:w="1300"/>
            <w:shd w:fill="FFFFFF" w:color="auto" w:val="clear"/>
            <w:tcMar>
              <w:top w:type="dxa" w:w="80"/>
              <w:left w:type="dxa" w:w="120"/>
              <w:bottom w:type="dxa" w:w="80"/>
              <w:right w:type="dxa" w:w="120"/>
            </w:tcMar>
          </w:tcPr>
          <w:p>
            <w:pPr>
              <w:spacing w:after="0"/>
            </w:pPr>
            <w:r>
              <w:rPr>
                <w:b w:val="false"/>
                <w:bCs w:val="false"/>
                <w:color w:val="000000"/>
                <w:sz w:val="19"/>
                <w:szCs w:val="19"/>
              </w:rPr>
              <w:t xml:space="preserve">Mikhail</w:t>
            </w:r>
          </w:p>
        </w:tc>
        <w:tc>
          <w:tcPr>
            <w:tcW w:type="dxa" w:w="1900"/>
            <w:shd w:fill="FFFFFF" w:color="auto" w:val="clear"/>
            <w:tcMar>
              <w:top w:type="dxa" w:w="80"/>
              <w:left w:type="dxa" w:w="120"/>
              <w:bottom w:type="dxa" w:w="80"/>
              <w:right w:type="dxa" w:w="120"/>
            </w:tcMar>
          </w:tcPr>
          <w:p>
            <w:pPr>
              <w:spacing w:after="0"/>
            </w:pPr>
            <w:r>
              <w:rPr>
                <w:b w:val="false"/>
                <w:bCs w:val="false"/>
                <w:color w:val="000000"/>
                <w:sz w:val="19"/>
                <w:szCs w:val="19"/>
              </w:rPr>
              <w:t xml:space="preserve">progress-tracking</w:t>
            </w:r>
          </w:p>
        </w:tc>
        <w:tc>
          <w:tcPr>
            <w:tcW w:type="dxa" w:w="3200"/>
            <w:shd w:fill="FFFFFF" w:color="auto" w:val="clear"/>
            <w:tcMar>
              <w:top w:type="dxa" w:w="80"/>
              <w:left w:type="dxa" w:w="120"/>
              <w:bottom w:type="dxa" w:w="80"/>
              <w:right w:type="dxa" w:w="120"/>
            </w:tcMar>
          </w:tcPr>
          <w:p>
            <w:pPr>
              <w:spacing w:after="0"/>
            </w:pPr>
            <w:r>
              <w:rPr>
                <w:b w:val="false"/>
                <w:bCs w:val="false"/>
                <w:color w:val="000000"/>
                <w:sz w:val="19"/>
                <w:szCs w:val="19"/>
              </w:rPr>
              <w:t xml:space="preserve">Audits the team Drive against the research plan and reports what is done, partial, or missing</w:t>
            </w:r>
          </w:p>
        </w:tc>
        <w:tc>
          <w:tcPr>
            <w:tcW w:type="dxa" w:w="2600"/>
            <w:shd w:fill="FFFFFF" w:color="auto" w:val="clear"/>
            <w:tcMar>
              <w:top w:type="dxa" w:w="80"/>
              <w:left w:type="dxa" w:w="120"/>
              <w:bottom w:type="dxa" w:w="80"/>
              <w:right w:type="dxa" w:w="120"/>
            </w:tcMar>
          </w:tcPr>
          <w:p>
            <w:pPr>
              <w:spacing w:after="0"/>
            </w:pPr>
            <w:r>
              <w:rPr>
                <w:b w:val="false"/>
                <w:bCs w:val="false"/>
                <w:color w:val="000000"/>
                <w:sz w:val="19"/>
                <w:szCs w:val="19"/>
              </w:rPr>
              <w:t xml:space="preserve">A separate directory, .claude/skills/, apart from everything else</w:t>
            </w:r>
          </w:p>
        </w:tc>
      </w:tr>
    </w:tbl>
    <w:p>
      <w:pPr>
        <w:spacing w:after="120"/>
      </w:pPr>
    </w:p>
    <w:p>
      <w:pPr>
        <w:spacing w:after="140"/>
      </w:pPr>
      <w:r>
        <w:rPr>
          <w:i w:val="false"/>
          <w:iCs w:val="false"/>
          <w:sz w:val="22"/>
          <w:szCs w:val="22"/>
        </w:rPr>
        <w:t xml:space="preserve">The first three are all about interview material. Mikhail's is a different job (project auditing) and was left as its own skill, but it landed in a different directory from the other three, which is its own kind of scatter.</w:t>
      </w:r>
    </w:p>
    <w:p>
      <w:pPr>
        <w:pStyle w:val="Heading1"/>
        <w:spacing w:after="160" w:before="360"/>
      </w:pPr>
      <w:r>
        <w:t xml:space="preserve">3. How they were scattered</w:t>
      </w:r>
    </w:p>
    <w:p>
      <w:pPr>
        <w:spacing w:after="140"/>
      </w:pPr>
      <w:r>
        <w:rPr>
          <w:i w:val="false"/>
          <w:iCs w:val="false"/>
          <w:sz w:val="22"/>
          <w:szCs w:val="22"/>
        </w:rPr>
        <w:t xml:space="preserve">Before any comparison was possible, the four had to be found. Three of the four were not where a person, or a model, would look.</w:t>
      </w:r>
    </w:p>
    <w:p>
      <w:pPr>
        <w:pStyle w:val="ListParagraph"/>
        <w:numPr>
          <w:ilvl w:val="0"/>
          <w:numId w:val="2"/>
        </w:numPr>
        <w:spacing w:after="80"/>
      </w:pPr>
      <w:r>
        <w:rPr>
          <w:sz w:val="22"/>
          <w:szCs w:val="22"/>
        </w:rPr>
        <w:t xml:space="preserve">Anat's was committed as a .skill zip archive placed inside Matan's skill folder, then deleted in a later commit and re-uploaded in unpacked form under a new name. Recovering the original required pulling the deleted blob out of git history. The two versions differ by exactly one line: the name field.</w:t>
      </w:r>
    </w:p>
    <w:p>
      <w:pPr>
        <w:pStyle w:val="ListParagraph"/>
        <w:numPr>
          <w:ilvl w:val="0"/>
          <w:numId w:val="2"/>
        </w:numPr>
        <w:spacing w:after="80"/>
      </w:pPr>
      <w:r>
        <w:rPr>
          <w:sz w:val="22"/>
          <w:szCs w:val="22"/>
        </w:rPr>
        <w:t xml:space="preserve">Gal's was a single file with no extension, sitting directly in skills/ rather than in a folder, with no YAML frontmatter at all. In that state it cannot load as a skill under any circumstances, no matter how good its content is.</w:t>
      </w:r>
    </w:p>
    <w:p>
      <w:pPr>
        <w:pStyle w:val="ListParagraph"/>
        <w:numPr>
          <w:ilvl w:val="0"/>
          <w:numId w:val="2"/>
        </w:numPr>
        <w:spacing w:after="80"/>
      </w:pPr>
      <w:r>
        <w:rPr>
          <w:sz w:val="22"/>
          <w:szCs w:val="22"/>
        </w:rPr>
        <w:t xml:space="preserve">Mikhail's was correctly structured but in .claude/skills/ rather than skills/, so the repository had two competing conventions for where a skill lives.</w:t>
      </w:r>
    </w:p>
    <w:p>
      <w:pPr>
        <w:pStyle w:val="ListParagraph"/>
        <w:numPr>
          <w:ilvl w:val="0"/>
          <w:numId w:val="2"/>
        </w:numPr>
        <w:spacing w:after="80"/>
      </w:pPr>
      <w:r>
        <w:rPr>
          <w:sz w:val="22"/>
          <w:szCs w:val="22"/>
        </w:rPr>
        <w:t xml:space="preserve">Only Matan's followed the full convention of a named folder containing SKILL.md plus references/ and assets/.</w:t>
      </w:r>
    </w:p>
    <w:p>
      <w:pPr>
        <w:spacing w:after="120"/>
      </w:pPr>
    </w:p>
    <w:p>
      <w:pPr>
        <w:pBdr>
          <w:left w:val="single" w:color="1F4E79" w:sz="18" w:space="12"/>
        </w:pBdr>
        <w:spacing w:after="180" w:before="120"/>
        <w:ind w:left="360" w:right="360"/>
      </w:pPr>
      <w:r>
        <w:rPr>
          <w:i/>
          <w:iCs/>
          <w:color w:val="1F4E79"/>
          <w:sz w:val="22"/>
          <w:szCs w:val="22"/>
        </w:rPr>
        <w:t xml:space="preserve">Lesson for the deck: agree where skills live before anyone writes one. Four people each picked a different answer, and three of the four answers were unusable.</w:t>
      </w:r>
    </w:p>
    <w:p>
      <w:pPr>
        <w:pStyle w:val="Heading1"/>
        <w:spacing w:after="160" w:before="360"/>
      </w:pPr>
      <w:r>
        <w:t xml:space="preserve">4. What the comparison revealed</w:t>
      </w:r>
    </w:p>
    <w:p>
      <w:pPr>
        <w:pStyle w:val="Heading2"/>
        <w:spacing w:after="120" w:before="260"/>
      </w:pPr>
      <w:r>
        <w:t xml:space="preserve">Insight 1: convergent evolution, and why it mattered</w:t>
      </w:r>
    </w:p>
    <w:p>
      <w:pPr>
        <w:spacing w:after="140"/>
      </w:pPr>
      <w:r>
        <w:rPr>
          <w:i w:val="false"/>
          <w:iCs w:val="false"/>
          <w:sz w:val="22"/>
          <w:szCs w:val="22"/>
        </w:rPr>
        <w:t xml:space="preserve">The strongest signal in the whole exercise. All three interview skills independently arrived at the same core rule, each in its own vocabulary, with no coordination between the authors.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7600"/>
      </w:tblGrid>
      <w:tr>
        <w:trPr>
          <w:cantSplit/>
          <w:tblHeader/>
        </w:trPr>
        <w:tc>
          <w:tcPr>
            <w:tcW w:type="dxa" w:w="1400"/>
            <w:shd w:fill="1F4E79" w:color="auto" w:val="clear"/>
            <w:tcMar>
              <w:top w:type="dxa" w:w="80"/>
              <w:left w:type="dxa" w:w="120"/>
              <w:bottom w:type="dxa" w:w="80"/>
              <w:right w:type="dxa" w:w="120"/>
            </w:tcMar>
          </w:tcPr>
          <w:p>
            <w:pPr>
              <w:spacing w:after="0"/>
            </w:pPr>
            <w:r>
              <w:rPr>
                <w:b/>
                <w:bCs/>
                <w:color w:val="FFFFFF"/>
                <w:sz w:val="19"/>
                <w:szCs w:val="19"/>
              </w:rPr>
              <w:t xml:space="preserve">Author</w:t>
            </w:r>
          </w:p>
        </w:tc>
        <w:tc>
          <w:tcPr>
            <w:tcW w:type="dxa" w:w="7600"/>
            <w:shd w:fill="1F4E79" w:color="auto" w:val="clear"/>
            <w:tcMar>
              <w:top w:type="dxa" w:w="80"/>
              <w:left w:type="dxa" w:w="120"/>
              <w:bottom w:type="dxa" w:w="80"/>
              <w:right w:type="dxa" w:w="120"/>
            </w:tcMar>
          </w:tcPr>
          <w:p>
            <w:pPr>
              <w:spacing w:after="0"/>
            </w:pPr>
            <w:r>
              <w:rPr>
                <w:b/>
                <w:bCs/>
                <w:color w:val="FFFFFF"/>
                <w:sz w:val="19"/>
                <w:szCs w:val="19"/>
              </w:rPr>
              <w:t xml:space="preserve">How they wrote the same rule</w:t>
            </w:r>
          </w:p>
        </w:tc>
      </w:tr>
      <w:tr>
        <w:trPr>
          <w:cantSplit/>
          <w:tblHeader w:val="false"/>
        </w:trPr>
        <w:tc>
          <w:tcPr>
            <w:tcW w:type="dxa" w:w="1400"/>
            <w:shd w:fill="FFFFFF" w:color="auto" w:val="clear"/>
            <w:tcMar>
              <w:top w:type="dxa" w:w="80"/>
              <w:left w:type="dxa" w:w="120"/>
              <w:bottom w:type="dxa" w:w="80"/>
              <w:right w:type="dxa" w:w="120"/>
            </w:tcMar>
          </w:tcPr>
          <w:p>
            <w:pPr>
              <w:spacing w:after="0"/>
            </w:pPr>
            <w:r>
              <w:rPr>
                <w:b w:val="false"/>
                <w:bCs w:val="false"/>
                <w:color w:val="000000"/>
                <w:sz w:val="19"/>
                <w:szCs w:val="19"/>
              </w:rPr>
              <w:t xml:space="preserve">Matan</w:t>
            </w:r>
          </w:p>
        </w:tc>
        <w:tc>
          <w:tcPr>
            <w:tcW w:type="dxa" w:w="7600"/>
            <w:shd w:fill="FFFFFF" w:color="auto" w:val="clear"/>
            <w:tcMar>
              <w:top w:type="dxa" w:w="80"/>
              <w:left w:type="dxa" w:w="120"/>
              <w:bottom w:type="dxa" w:w="80"/>
              <w:right w:type="dxa" w:w="120"/>
            </w:tcMar>
          </w:tcPr>
          <w:p>
            <w:pPr>
              <w:spacing w:after="0"/>
            </w:pPr>
            <w:r>
              <w:rPr>
                <w:b w:val="false"/>
                <w:bCs w:val="false"/>
                <w:color w:val="000000"/>
                <w:sz w:val="19"/>
                <w:szCs w:val="19"/>
              </w:rPr>
              <w:t xml:space="preserve">"Excluded from participant counts and from the weight of any finding. Five real plus three synthetic is five participants, never eight."</w:t>
            </w:r>
          </w:p>
        </w:tc>
      </w:tr>
      <w:tr>
        <w:trPr>
          <w:cantSplit/>
          <w:tblHeader w:val="false"/>
        </w:trPr>
        <w:tc>
          <w:tcPr>
            <w:tcW w:type="dxa" w:w="1400"/>
            <w:shd w:fill="FFFFFF" w:color="auto" w:val="clear"/>
            <w:tcMar>
              <w:top w:type="dxa" w:w="80"/>
              <w:left w:type="dxa" w:w="120"/>
              <w:bottom w:type="dxa" w:w="80"/>
              <w:right w:type="dxa" w:w="120"/>
            </w:tcMar>
          </w:tcPr>
          <w:p>
            <w:pPr>
              <w:spacing w:after="0"/>
            </w:pPr>
            <w:r>
              <w:rPr>
                <w:b w:val="false"/>
                <w:bCs w:val="false"/>
                <w:color w:val="000000"/>
                <w:sz w:val="19"/>
                <w:szCs w:val="19"/>
              </w:rPr>
              <w:t xml:space="preserve">Anat</w:t>
            </w:r>
          </w:p>
        </w:tc>
        <w:tc>
          <w:tcPr>
            <w:tcW w:type="dxa" w:w="7600"/>
            <w:shd w:fill="FFFFFF" w:color="auto" w:val="clear"/>
            <w:tcMar>
              <w:top w:type="dxa" w:w="80"/>
              <w:left w:type="dxa" w:w="120"/>
              <w:bottom w:type="dxa" w:w="80"/>
              <w:right w:type="dxa" w:w="120"/>
            </w:tcMar>
          </w:tcPr>
          <w:p>
            <w:pPr>
              <w:spacing w:after="0"/>
            </w:pPr>
            <w:r>
              <w:rPr>
                <w:b w:val="false"/>
                <w:bCs w:val="false"/>
                <w:color w:val="000000"/>
                <w:sz w:val="19"/>
                <w:szCs w:val="19"/>
              </w:rPr>
              <w:t xml:space="preserve">"Synthetic sources don't count toward the corroboration number, no matter how many there are."</w:t>
            </w:r>
          </w:p>
        </w:tc>
      </w:tr>
      <w:tr>
        <w:trPr>
          <w:cantSplit/>
          <w:tblHeader w:val="false"/>
        </w:trPr>
        <w:tc>
          <w:tcPr>
            <w:tcW w:type="dxa" w:w="1400"/>
            <w:shd w:fill="FFFFFF" w:color="auto" w:val="clear"/>
            <w:tcMar>
              <w:top w:type="dxa" w:w="80"/>
              <w:left w:type="dxa" w:w="120"/>
              <w:bottom w:type="dxa" w:w="80"/>
              <w:right w:type="dxa" w:w="120"/>
            </w:tcMar>
          </w:tcPr>
          <w:p>
            <w:pPr>
              <w:spacing w:after="0"/>
            </w:pPr>
            <w:r>
              <w:rPr>
                <w:b w:val="false"/>
                <w:bCs w:val="false"/>
                <w:color w:val="000000"/>
                <w:sz w:val="19"/>
                <w:szCs w:val="19"/>
              </w:rPr>
              <w:t xml:space="preserve">Gal</w:t>
            </w:r>
          </w:p>
        </w:tc>
        <w:tc>
          <w:tcPr>
            <w:tcW w:type="dxa" w:w="7600"/>
            <w:shd w:fill="FFFFFF" w:color="auto" w:val="clear"/>
            <w:tcMar>
              <w:top w:type="dxa" w:w="80"/>
              <w:left w:type="dxa" w:w="120"/>
              <w:bottom w:type="dxa" w:w="80"/>
              <w:right w:type="dxa" w:w="120"/>
            </w:tcMar>
          </w:tcPr>
          <w:p>
            <w:pPr>
              <w:spacing w:after="0"/>
            </w:pPr>
            <w:r>
              <w:rPr>
                <w:b w:val="false"/>
                <w:bCs w:val="false"/>
                <w:color w:val="000000"/>
                <w:sz w:val="19"/>
                <w:szCs w:val="19"/>
              </w:rPr>
              <w:t xml:space="preserve">"Panel feedback is rehearsal, not findings, and never counts toward the two-source rule."</w:t>
            </w:r>
          </w:p>
        </w:tc>
      </w:tr>
    </w:tbl>
    <w:p>
      <w:pPr>
        <w:spacing w:after="120"/>
      </w:pPr>
    </w:p>
    <w:p>
      <w:pPr>
        <w:spacing w:after="140"/>
      </w:pPr>
      <w:r>
        <w:rPr>
          <w:i w:val="false"/>
          <w:iCs w:val="false"/>
          <w:sz w:val="22"/>
          <w:szCs w:val="22"/>
        </w:rPr>
        <w:t xml:space="preserve">Three people, three framings, one rule. When independent attempts converge like that, the rule is not a stylistic preference, it is the actual constraint the problem imposes. That single sentence became the spine of the merged skill, and everything else in it hangs off that spine.</w:t>
      </w:r>
    </w:p>
    <w:p>
      <w:pPr>
        <w:pStyle w:val="Heading2"/>
        <w:spacing w:after="120" w:before="260"/>
      </w:pPr>
      <w:r>
        <w:t xml:space="preserve">Insight 2: the accidental pipeline</w:t>
      </w:r>
    </w:p>
    <w:p>
      <w:pPr>
        <w:spacing w:after="140"/>
      </w:pPr>
      <w:r>
        <w:rPr>
          <w:i w:val="false"/>
          <w:iCs w:val="false"/>
          <w:sz w:val="22"/>
          <w:szCs w:val="22"/>
        </w:rPr>
        <w:t xml:space="preserve">The three interview skills do not overlap. They adjoin. Nobody designed this.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cantSplit/>
          <w:tblHeader/>
        </w:trPr>
        <w:tc>
          <w:tcPr>
            <w:tcW w:type="dxa" w:w="2200"/>
            <w:shd w:fill="1F4E79" w:color="auto" w:val="clear"/>
            <w:tcMar>
              <w:top w:type="dxa" w:w="80"/>
              <w:left w:type="dxa" w:w="120"/>
              <w:bottom w:type="dxa" w:w="80"/>
              <w:right w:type="dxa" w:w="120"/>
            </w:tcMar>
          </w:tcPr>
          <w:p>
            <w:pPr>
              <w:spacing w:after="0"/>
            </w:pPr>
            <w:r>
              <w:rPr>
                <w:b/>
                <w:bCs/>
                <w:color w:val="FFFFFF"/>
                <w:sz w:val="19"/>
                <w:szCs w:val="19"/>
              </w:rPr>
              <w:t xml:space="preserve">Skill</w:t>
            </w:r>
          </w:p>
        </w:tc>
        <w:tc>
          <w:tcPr>
            <w:tcW w:type="dxa" w:w="3400"/>
            <w:shd w:fill="1F4E79" w:color="auto" w:val="clear"/>
            <w:tcMar>
              <w:top w:type="dxa" w:w="80"/>
              <w:left w:type="dxa" w:w="120"/>
              <w:bottom w:type="dxa" w:w="80"/>
              <w:right w:type="dxa" w:w="120"/>
            </w:tcMar>
          </w:tcPr>
          <w:p>
            <w:pPr>
              <w:spacing w:after="0"/>
            </w:pPr>
            <w:r>
              <w:rPr>
                <w:b/>
                <w:bCs/>
                <w:color w:val="FFFFFF"/>
                <w:sz w:val="19"/>
                <w:szCs w:val="19"/>
              </w:rPr>
              <w:t xml:space="preserve">Its verb</w:t>
            </w:r>
          </w:p>
        </w:tc>
        <w:tc>
          <w:tcPr>
            <w:tcW w:type="dxa" w:w="3400"/>
            <w:shd w:fill="1F4E79" w:color="auto" w:val="clear"/>
            <w:tcMar>
              <w:top w:type="dxa" w:w="80"/>
              <w:left w:type="dxa" w:w="120"/>
              <w:bottom w:type="dxa" w:w="80"/>
              <w:right w:type="dxa" w:w="120"/>
            </w:tcMar>
          </w:tcPr>
          <w:p>
            <w:pPr>
              <w:spacing w:after="0"/>
            </w:pPr>
            <w:r>
              <w:rPr>
                <w:b/>
                <w:bCs/>
                <w:color w:val="FFFFFF"/>
                <w:sz w:val="19"/>
                <w:szCs w:val="19"/>
              </w:rPr>
              <w:t xml:space="preserve">Where it sits in the work</w:t>
            </w:r>
          </w:p>
        </w:tc>
      </w:tr>
      <w:tr>
        <w:trPr>
          <w:cantSplit/>
          <w:tblHeader w:val="false"/>
        </w:trPr>
        <w:tc>
          <w:tcPr>
            <w:tcW w:type="dxa" w:w="2200"/>
            <w:shd w:fill="FFFFFF" w:color="auto" w:val="clear"/>
            <w:tcMar>
              <w:top w:type="dxa" w:w="80"/>
              <w:left w:type="dxa" w:w="120"/>
              <w:bottom w:type="dxa" w:w="80"/>
              <w:right w:type="dxa" w:w="120"/>
            </w:tcMar>
          </w:tcPr>
          <w:p>
            <w:pPr>
              <w:spacing w:after="0"/>
            </w:pPr>
            <w:r>
              <w:rPr>
                <w:b w:val="false"/>
                <w:bCs w:val="false"/>
                <w:color w:val="000000"/>
                <w:sz w:val="19"/>
                <w:szCs w:val="19"/>
              </w:rPr>
              <w:t xml:space="preserve">interview-synth</w:t>
            </w:r>
          </w:p>
        </w:tc>
        <w:tc>
          <w:tcPr>
            <w:tcW w:type="dxa" w:w="3400"/>
            <w:shd w:fill="FFFFFF" w:color="auto" w:val="clear"/>
            <w:tcMar>
              <w:top w:type="dxa" w:w="80"/>
              <w:left w:type="dxa" w:w="120"/>
              <w:bottom w:type="dxa" w:w="80"/>
              <w:right w:type="dxa" w:w="120"/>
            </w:tcMar>
          </w:tcPr>
          <w:p>
            <w:pPr>
              <w:spacing w:after="0"/>
            </w:pPr>
            <w:r>
              <w:rPr>
                <w:b w:val="false"/>
                <w:bCs w:val="false"/>
                <w:color w:val="000000"/>
                <w:sz w:val="19"/>
                <w:szCs w:val="19"/>
              </w:rPr>
              <w:t xml:space="preserve">Makes interviews</w:t>
            </w:r>
          </w:p>
        </w:tc>
        <w:tc>
          <w:tcPr>
            <w:tcW w:type="dxa" w:w="3400"/>
            <w:shd w:fill="FFFFFF" w:color="auto" w:val="clear"/>
            <w:tcMar>
              <w:top w:type="dxa" w:w="80"/>
              <w:left w:type="dxa" w:w="120"/>
              <w:bottom w:type="dxa" w:w="80"/>
              <w:right w:type="dxa" w:w="120"/>
            </w:tcMar>
          </w:tcPr>
          <w:p>
            <w:pPr>
              <w:spacing w:after="0"/>
            </w:pPr>
            <w:r>
              <w:rPr>
                <w:b w:val="false"/>
                <w:bCs w:val="false"/>
                <w:color w:val="000000"/>
                <w:sz w:val="19"/>
                <w:szCs w:val="19"/>
              </w:rPr>
              <w:t xml:space="preserve">Before: fill a segment you cannot reach yet</w:t>
            </w:r>
          </w:p>
        </w:tc>
      </w:tr>
      <w:tr>
        <w:trPr>
          <w:cantSplit/>
          <w:tblHeader w:val="false"/>
        </w:trPr>
        <w:tc>
          <w:tcPr>
            <w:tcW w:type="dxa" w:w="2200"/>
            <w:shd w:fill="FFFFFF" w:color="auto" w:val="clear"/>
            <w:tcMar>
              <w:top w:type="dxa" w:w="80"/>
              <w:left w:type="dxa" w:w="120"/>
              <w:bottom w:type="dxa" w:w="80"/>
              <w:right w:type="dxa" w:w="120"/>
            </w:tcMar>
          </w:tcPr>
          <w:p>
            <w:pPr>
              <w:spacing w:after="0"/>
            </w:pPr>
            <w:r>
              <w:rPr>
                <w:b w:val="false"/>
                <w:bCs w:val="false"/>
                <w:color w:val="000000"/>
                <w:sz w:val="19"/>
                <w:szCs w:val="19"/>
              </w:rPr>
              <w:t xml:space="preserve">interview-synthesis</w:t>
            </w:r>
          </w:p>
        </w:tc>
        <w:tc>
          <w:tcPr>
            <w:tcW w:type="dxa" w:w="3400"/>
            <w:shd w:fill="FFFFFF" w:color="auto" w:val="clear"/>
            <w:tcMar>
              <w:top w:type="dxa" w:w="80"/>
              <w:left w:type="dxa" w:w="120"/>
              <w:bottom w:type="dxa" w:w="80"/>
              <w:right w:type="dxa" w:w="120"/>
            </w:tcMar>
          </w:tcPr>
          <w:p>
            <w:pPr>
              <w:spacing w:after="0"/>
            </w:pPr>
            <w:r>
              <w:rPr>
                <w:b w:val="false"/>
                <w:bCs w:val="false"/>
                <w:color w:val="000000"/>
                <w:sz w:val="19"/>
                <w:szCs w:val="19"/>
              </w:rPr>
              <w:t xml:space="preserve">Reads interviews</w:t>
            </w:r>
          </w:p>
        </w:tc>
        <w:tc>
          <w:tcPr>
            <w:tcW w:type="dxa" w:w="3400"/>
            <w:shd w:fill="FFFFFF" w:color="auto" w:val="clear"/>
            <w:tcMar>
              <w:top w:type="dxa" w:w="80"/>
              <w:left w:type="dxa" w:w="120"/>
              <w:bottom w:type="dxa" w:w="80"/>
              <w:right w:type="dxa" w:w="120"/>
            </w:tcMar>
          </w:tcPr>
          <w:p>
            <w:pPr>
              <w:spacing w:after="0"/>
            </w:pPr>
            <w:r>
              <w:rPr>
                <w:b w:val="false"/>
                <w:bCs w:val="false"/>
                <w:color w:val="000000"/>
                <w:sz w:val="19"/>
                <w:szCs w:val="19"/>
              </w:rPr>
              <w:t xml:space="preserve">During: turn the pile into graded claims</w:t>
            </w:r>
          </w:p>
        </w:tc>
      </w:tr>
      <w:tr>
        <w:trPr>
          <w:cantSplit/>
          <w:tblHeader w:val="false"/>
        </w:trPr>
        <w:tc>
          <w:tcPr>
            <w:tcW w:type="dxa" w:w="2200"/>
            <w:shd w:fill="FFFFFF" w:color="auto" w:val="clear"/>
            <w:tcMar>
              <w:top w:type="dxa" w:w="80"/>
              <w:left w:type="dxa" w:w="120"/>
              <w:bottom w:type="dxa" w:w="80"/>
              <w:right w:type="dxa" w:w="120"/>
            </w:tcMar>
          </w:tcPr>
          <w:p>
            <w:pPr>
              <w:spacing w:after="0"/>
            </w:pPr>
            <w:r>
              <w:rPr>
                <w:b w:val="false"/>
                <w:bCs w:val="false"/>
                <w:color w:val="000000"/>
                <w:sz w:val="19"/>
                <w:szCs w:val="19"/>
              </w:rPr>
              <w:t xml:space="preserve">Stakeholder Panel</w:t>
            </w:r>
          </w:p>
        </w:tc>
        <w:tc>
          <w:tcPr>
            <w:tcW w:type="dxa" w:w="3400"/>
            <w:shd w:fill="FFFFFF" w:color="auto" w:val="clear"/>
            <w:tcMar>
              <w:top w:type="dxa" w:w="80"/>
              <w:left w:type="dxa" w:w="120"/>
              <w:bottom w:type="dxa" w:w="80"/>
              <w:right w:type="dxa" w:w="120"/>
            </w:tcMar>
          </w:tcPr>
          <w:p>
            <w:pPr>
              <w:spacing w:after="0"/>
            </w:pPr>
            <w:r>
              <w:rPr>
                <w:b w:val="false"/>
                <w:bCs w:val="false"/>
                <w:color w:val="000000"/>
                <w:sz w:val="19"/>
                <w:szCs w:val="19"/>
              </w:rPr>
              <w:t xml:space="preserve">Replays interviews</w:t>
            </w:r>
          </w:p>
        </w:tc>
        <w:tc>
          <w:tcPr>
            <w:tcW w:type="dxa" w:w="3400"/>
            <w:shd w:fill="FFFFFF" w:color="auto" w:val="clear"/>
            <w:tcMar>
              <w:top w:type="dxa" w:w="80"/>
              <w:left w:type="dxa" w:w="120"/>
              <w:bottom w:type="dxa" w:w="80"/>
              <w:right w:type="dxa" w:w="120"/>
            </w:tcMar>
          </w:tcPr>
          <w:p>
            <w:pPr>
              <w:spacing w:after="0"/>
            </w:pPr>
            <w:r>
              <w:rPr>
                <w:b w:val="false"/>
                <w:bCs w:val="false"/>
                <w:color w:val="000000"/>
                <w:sz w:val="19"/>
                <w:szCs w:val="19"/>
              </w:rPr>
              <w:t xml:space="preserve">After: pressure-test the concept that came out</w:t>
            </w:r>
          </w:p>
        </w:tc>
      </w:tr>
    </w:tbl>
    <w:p>
      <w:pPr>
        <w:spacing w:after="120"/>
      </w:pPr>
    </w:p>
    <w:p>
      <w:pPr>
        <w:spacing w:after="140"/>
      </w:pPr>
      <w:r>
        <w:rPr>
          <w:i w:val="false"/>
          <w:iCs w:val="false"/>
          <w:sz w:val="22"/>
          <w:szCs w:val="22"/>
        </w:rPr>
        <w:t xml:space="preserve">Laid end to end, the four of us had reconstructed our own research pipeline without discussing it. That is what made merging obviously right rather than merely tidy: the merged skill is not three tools bolted together, it is one workflow that happened to be written in three pieces.</w:t>
      </w:r>
    </w:p>
    <w:p>
      <w:pPr>
        <w:pStyle w:val="Heading2"/>
        <w:spacing w:after="120" w:before="260"/>
      </w:pPr>
      <w:r>
        <w:t xml:space="preserve">Insight 3: the name is the interface</w:t>
      </w:r>
    </w:p>
    <w:p>
      <w:pPr>
        <w:spacing w:after="140"/>
      </w:pPr>
      <w:r>
        <w:rPr>
          <w:i w:val="false"/>
          <w:iCs w:val="false"/>
          <w:sz w:val="22"/>
          <w:szCs w:val="22"/>
        </w:rPr>
        <w:t xml:space="preserve">interview-synth and interview-synthesis differ by four characters and mean opposite things. One generates interviews. The other consumes them. Any teammate skimming the folder, and any model choosing which skill to invoke, would pick wrong roughly half the time.</w:t>
      </w:r>
    </w:p>
    <w:p>
      <w:pPr>
        <w:spacing w:after="140"/>
      </w:pPr>
      <w:r>
        <w:rPr>
          <w:i w:val="false"/>
          <w:iCs w:val="false"/>
          <w:sz w:val="22"/>
          <w:szCs w:val="22"/>
        </w:rPr>
        <w:t xml:space="preserve">This was the single most concrete argument for consolidation. Two skills that are individually excellent can still fail as a pair, purely because a reader cannot tell them apart at a glance. A skill's name and description are not documentation, they are the routing logic.</w:t>
      </w:r>
    </w:p>
    <w:p>
      <w:pPr>
        <w:pStyle w:val="Heading2"/>
        <w:spacing w:after="120" w:before="260"/>
      </w:pPr>
      <w:r>
        <w:t xml:space="preserve">Insight 4: frontmatter is load-bearing</w:t>
      </w:r>
    </w:p>
    <w:p>
      <w:pPr>
        <w:spacing w:after="140"/>
      </w:pPr>
      <w:r>
        <w:rPr>
          <w:i w:val="false"/>
          <w:iCs w:val="false"/>
          <w:sz w:val="22"/>
          <w:szCs w:val="22"/>
        </w:rPr>
        <w:t xml:space="preserve">Gal's skill contained the sharpest "when not to use this" list of the four, including the observation that a panel must never be run on a stakeholder group nobody has spoken to, because it would invent a position rather than replay one. That is a genuinely good guardrail and none of the other three had it.</w:t>
      </w:r>
    </w:p>
    <w:p>
      <w:pPr>
        <w:spacing w:after="140"/>
      </w:pPr>
      <w:r>
        <w:rPr>
          <w:i w:val="false"/>
          <w:iCs w:val="false"/>
          <w:sz w:val="22"/>
          <w:szCs w:val="22"/>
        </w:rPr>
        <w:t xml:space="preserve">It also could not run. With no YAML frontmatter, there is no name and no description, so nothing can ever trigger it. The best content in the set was, in practice, invisible. Content quality and packaging correctness are independent, and a skill needs both.</w:t>
      </w:r>
    </w:p>
    <w:p>
      <w:pPr>
        <w:pStyle w:val="Heading2"/>
        <w:spacing w:after="120" w:before="260"/>
      </w:pPr>
      <w:r>
        <w:t xml:space="preserve">Insight 5: merging is not concatenation</w:t>
      </w:r>
    </w:p>
    <w:p>
      <w:pPr>
        <w:spacing w:after="140"/>
      </w:pPr>
      <w:r>
        <w:rPr>
          <w:i w:val="false"/>
          <w:iCs w:val="false"/>
          <w:sz w:val="22"/>
          <w:szCs w:val="22"/>
        </w:rPr>
        <w:t xml:space="preserve">The most instructive failure came during the merge itself, not before it.</w:t>
      </w:r>
    </w:p>
    <w:p>
      <w:pPr>
        <w:spacing w:after="140"/>
      </w:pPr>
      <w:r>
        <w:rPr>
          <w:i w:val="false"/>
          <w:iCs w:val="false"/>
          <w:sz w:val="22"/>
          <w:szCs w:val="22"/>
        </w:rPr>
        <w:t xml:space="preserve">Stitching the three "do not use this for" lists together produced a shared guardrail reading "never simulate a group you never interviewed". That sentence is correct for Gal's panel, where the job is replaying real positions. It is flatly wrong for Matan's generator, whose entire purpose is reaching a segment you have not interviewed. The merged draft therefore contained a rule that forbade its own headline use case, and the contradiction sat two sections apart, which is exactly far enough not to notice.</w:t>
      </w:r>
    </w:p>
    <w:p>
      <w:pPr>
        <w:spacing w:after="140"/>
      </w:pPr>
      <w:r>
        <w:rPr>
          <w:i w:val="false"/>
          <w:iCs w:val="false"/>
          <w:sz w:val="22"/>
          <w:szCs w:val="22"/>
        </w:rPr>
        <w:t xml:space="preserve">It was caught by a deliberate adversarial review pass, run against all three originals with the sole instruction to find rules that had gone missing, weakened, or been contradicted. That pass found the contradiction plus eight smaller losses: dropped qualifiers, a lost counter-example, two invocation triggers missing from the description. All were restored.</w:t>
      </w:r>
    </w:p>
    <w:p>
      <w:pPr>
        <w:pBdr>
          <w:left w:val="single" w:color="1F4E79" w:sz="18" w:space="12"/>
        </w:pBdr>
        <w:spacing w:after="180" w:before="120"/>
        <w:ind w:left="360" w:right="360"/>
      </w:pPr>
      <w:r>
        <w:rPr>
          <w:i/>
          <w:iCs/>
          <w:color w:val="1F4E79"/>
          <w:sz w:val="22"/>
          <w:szCs w:val="22"/>
        </w:rPr>
        <w:t xml:space="preserve">The takeaway worth a slide: when you merge guardrails, a rule that is true in one context becomes false in another. Merging needs a review pass whose only job is to look for what the merge broke.</w:t>
      </w:r>
    </w:p>
    <w:p>
      <w:pPr>
        <w:pStyle w:val="Heading1"/>
        <w:spacing w:after="160" w:before="360"/>
      </w:pPr>
      <w:r>
        <w:t xml:space="preserve">5. What each skill contributed</w:t>
      </w:r>
    </w:p>
    <w:p>
      <w:pPr>
        <w:spacing w:after="140"/>
      </w:pPr>
      <w:r>
        <w:rPr>
          <w:i w:val="false"/>
          <w:iCs w:val="false"/>
          <w:sz w:val="22"/>
          <w:szCs w:val="22"/>
        </w:rPr>
        <w:t xml:space="preserve">Nothing was discarded. Each of the three brought something the others did not have.</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7300"/>
      </w:tblGrid>
      <w:tr>
        <w:trPr>
          <w:cantSplit/>
          <w:tblHeader/>
        </w:trPr>
        <w:tc>
          <w:tcPr>
            <w:tcW w:type="dxa" w:w="1700"/>
            <w:shd w:fill="1F4E79" w:color="auto" w:val="clear"/>
            <w:tcMar>
              <w:top w:type="dxa" w:w="80"/>
              <w:left w:type="dxa" w:w="120"/>
              <w:bottom w:type="dxa" w:w="80"/>
              <w:right w:type="dxa" w:w="120"/>
            </w:tcMar>
          </w:tcPr>
          <w:p>
            <w:pPr>
              <w:spacing w:after="0"/>
            </w:pPr>
            <w:r>
              <w:rPr>
                <w:b/>
                <w:bCs/>
                <w:color w:val="FFFFFF"/>
                <w:sz w:val="19"/>
                <w:szCs w:val="19"/>
              </w:rPr>
              <w:t xml:space="preserve">Source</w:t>
            </w:r>
          </w:p>
        </w:tc>
        <w:tc>
          <w:tcPr>
            <w:tcW w:type="dxa" w:w="7300"/>
            <w:shd w:fill="1F4E79" w:color="auto" w:val="clear"/>
            <w:tcMar>
              <w:top w:type="dxa" w:w="80"/>
              <w:left w:type="dxa" w:w="120"/>
              <w:bottom w:type="dxa" w:w="80"/>
              <w:right w:type="dxa" w:w="120"/>
            </w:tcMar>
          </w:tcPr>
          <w:p>
            <w:pPr>
              <w:spacing w:after="0"/>
            </w:pPr>
            <w:r>
              <w:rPr>
                <w:b/>
                <w:bCs/>
                <w:color w:val="FFFFFF"/>
                <w:sz w:val="19"/>
                <w:szCs w:val="19"/>
              </w:rPr>
              <w:t xml:space="preserve">Unique contribution to the merged skill</w:t>
            </w:r>
          </w:p>
        </w:tc>
      </w:tr>
      <w:tr>
        <w:trPr>
          <w:cantSplit/>
          <w:tblHeader w:val="false"/>
        </w:trPr>
        <w:tc>
          <w:tcPr>
            <w:tcW w:type="dxa" w:w="1700"/>
            <w:shd w:fill="FFFFFF" w:color="auto" w:val="clear"/>
            <w:tcMar>
              <w:top w:type="dxa" w:w="80"/>
              <w:left w:type="dxa" w:w="120"/>
              <w:bottom w:type="dxa" w:w="80"/>
              <w:right w:type="dxa" w:w="120"/>
            </w:tcMar>
          </w:tcPr>
          <w:p>
            <w:pPr>
              <w:spacing w:after="0"/>
            </w:pPr>
            <w:r>
              <w:rPr>
                <w:b w:val="false"/>
                <w:bCs w:val="false"/>
                <w:color w:val="000000"/>
                <w:sz w:val="19"/>
                <w:szCs w:val="19"/>
              </w:rPr>
              <w:t xml:space="preserve">Matan</w:t>
            </w:r>
          </w:p>
        </w:tc>
        <w:tc>
          <w:tcPr>
            <w:tcW w:type="dxa" w:w="7300"/>
            <w:shd w:fill="FFFFFF" w:color="auto" w:val="clear"/>
            <w:tcMar>
              <w:top w:type="dxa" w:w="80"/>
              <w:left w:type="dxa" w:w="120"/>
              <w:bottom w:type="dxa" w:w="80"/>
              <w:right w:type="dxa" w:w="120"/>
            </w:tcMar>
          </w:tcPr>
          <w:p>
            <w:pPr>
              <w:spacing w:after="0"/>
            </w:pPr>
            <w:r>
              <w:rPr>
                <w:b w:val="false"/>
                <w:bCs w:val="false"/>
                <w:color w:val="000000"/>
                <w:sz w:val="19"/>
                <w:szCs w:val="19"/>
              </w:rPr>
              <w:t xml:space="preserve">The evidence base for grounding (research showing that models built from real transcripts track actual people far better, and carry less demographic bias, than personas built from a demographic profile), the four documented failure modes of synthetic participants, the no-identifiable-patient-data wall in both directions, and a full worked example</w:t>
            </w:r>
          </w:p>
        </w:tc>
      </w:tr>
      <w:tr>
        <w:trPr>
          <w:cantSplit/>
          <w:tblHeader w:val="false"/>
        </w:trPr>
        <w:tc>
          <w:tcPr>
            <w:tcW w:type="dxa" w:w="1700"/>
            <w:shd w:fill="FFFFFF" w:color="auto" w:val="clear"/>
            <w:tcMar>
              <w:top w:type="dxa" w:w="80"/>
              <w:left w:type="dxa" w:w="120"/>
              <w:bottom w:type="dxa" w:w="80"/>
              <w:right w:type="dxa" w:w="120"/>
            </w:tcMar>
          </w:tcPr>
          <w:p>
            <w:pPr>
              <w:spacing w:after="0"/>
            </w:pPr>
            <w:r>
              <w:rPr>
                <w:b w:val="false"/>
                <w:bCs w:val="false"/>
                <w:color w:val="000000"/>
                <w:sz w:val="19"/>
                <w:szCs w:val="19"/>
              </w:rPr>
              <w:t xml:space="preserve">Anat</w:t>
            </w:r>
          </w:p>
        </w:tc>
        <w:tc>
          <w:tcPr>
            <w:tcW w:type="dxa" w:w="7300"/>
            <w:shd w:fill="FFFFFF" w:color="auto" w:val="clear"/>
            <w:tcMar>
              <w:top w:type="dxa" w:w="80"/>
              <w:left w:type="dxa" w:w="120"/>
              <w:bottom w:type="dxa" w:w="80"/>
              <w:right w:type="dxa" w:w="120"/>
            </w:tcMar>
          </w:tcPr>
          <w:p>
            <w:pPr>
              <w:spacing w:after="0"/>
            </w:pPr>
            <w:r>
              <w:rPr>
                <w:b w:val="false"/>
                <w:bCs w:val="false"/>
                <w:color w:val="000000"/>
                <w:sz w:val="19"/>
                <w:szCs w:val="19"/>
              </w:rPr>
              <w:t xml:space="preserve">The four-tier evidence ladder (Finding, Directional, Directional synthetic-only, Single-source), the ingest-anything step, the source classification step that runs before content is read, and the two-layer output of findings table plus narrative</w:t>
            </w:r>
          </w:p>
        </w:tc>
      </w:tr>
      <w:tr>
        <w:trPr>
          <w:cantSplit/>
          <w:tblHeader w:val="false"/>
        </w:trPr>
        <w:tc>
          <w:tcPr>
            <w:tcW w:type="dxa" w:w="1700"/>
            <w:shd w:fill="FFFFFF" w:color="auto" w:val="clear"/>
            <w:tcMar>
              <w:top w:type="dxa" w:w="80"/>
              <w:left w:type="dxa" w:w="120"/>
              <w:bottom w:type="dxa" w:w="80"/>
              <w:right w:type="dxa" w:w="120"/>
            </w:tcMar>
          </w:tcPr>
          <w:p>
            <w:pPr>
              <w:spacing w:after="0"/>
            </w:pPr>
            <w:r>
              <w:rPr>
                <w:b w:val="false"/>
                <w:bCs w:val="false"/>
                <w:color w:val="000000"/>
                <w:sz w:val="19"/>
                <w:szCs w:val="19"/>
              </w:rPr>
              <w:t xml:space="preserve">Gal</w:t>
            </w:r>
          </w:p>
        </w:tc>
        <w:tc>
          <w:tcPr>
            <w:tcW w:type="dxa" w:w="7300"/>
            <w:shd w:fill="FFFFFF" w:color="auto" w:val="clear"/>
            <w:tcMar>
              <w:top w:type="dxa" w:w="80"/>
              <w:left w:type="dxa" w:w="120"/>
              <w:bottom w:type="dxa" w:w="80"/>
              <w:right w:type="dxa" w:w="120"/>
            </w:tcMar>
          </w:tcPr>
          <w:p>
            <w:pPr>
              <w:spacing w:after="0"/>
            </w:pPr>
            <w:r>
              <w:rPr>
                <w:b w:val="false"/>
                <w:bCs w:val="false"/>
                <w:color w:val="000000"/>
                <w:sz w:val="19"/>
                <w:szCs w:val="19"/>
              </w:rPr>
              <w:t xml:space="preserve">The sharpest when-not-to-use list in the set, the rule that a stakeholder needs a transcript to earn a seat, and the honest note that a panel mixes real-grounded and synthetic voices at different strengths</w:t>
            </w:r>
          </w:p>
        </w:tc>
      </w:tr>
    </w:tbl>
    <w:p>
      <w:pPr>
        <w:spacing w:after="120"/>
      </w:pPr>
    </w:p>
    <w:p>
      <w:pPr>
        <w:spacing w:after="140"/>
      </w:pPr>
      <w:r>
        <w:rPr>
          <w:i w:val="false"/>
          <w:iCs w:val="false"/>
          <w:sz w:val="22"/>
          <w:szCs w:val="22"/>
        </w:rPr>
        <w:t xml:space="preserve">Where the three conflicted, the conflict was vocabulary rather than substance. Matan graded synthetic output as "directional, to confirm". Anat had the four-tier ladder. Gal had no grading vocabulary at all, only a flat "not evidence". The merge adopted Anat's ladder as the single vocabulary, because it is the only one that also handles the real-source-only cases, and because it is the vocabulary the Research Report needs.</w:t>
      </w:r>
    </w:p>
    <w:p>
      <w:pPr>
        <w:pStyle w:val="Heading1"/>
        <w:spacing w:after="160" w:before="360"/>
      </w:pPr>
      <w:r>
        <w:t xml:space="preserve">6. The merged skill</w:t>
      </w:r>
    </w:p>
    <w:p>
      <w:pPr>
        <w:spacing w:after="140"/>
      </w:pPr>
      <w:r>
        <w:rPr>
          <w:i w:val="false"/>
          <w:iCs w:val="false"/>
          <w:sz w:val="22"/>
          <w:szCs w:val="22"/>
        </w:rPr>
        <w:t xml:space="preserve">One skill, interview-synth, with three modes sitting on one shared evidence ladder and one shared set of guardrails.</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900"/>
        <w:gridCol w:w="3500"/>
      </w:tblGrid>
      <w:tr>
        <w:trPr>
          <w:cantSplit/>
          <w:tblHeader/>
        </w:trPr>
        <w:tc>
          <w:tcPr>
            <w:tcW w:type="dxa" w:w="1600"/>
            <w:shd w:fill="1F4E79" w:color="auto" w:val="clear"/>
            <w:tcMar>
              <w:top w:type="dxa" w:w="80"/>
              <w:left w:type="dxa" w:w="120"/>
              <w:bottom w:type="dxa" w:w="80"/>
              <w:right w:type="dxa" w:w="120"/>
            </w:tcMar>
          </w:tcPr>
          <w:p>
            <w:pPr>
              <w:spacing w:after="0"/>
            </w:pPr>
            <w:r>
              <w:rPr>
                <w:b/>
                <w:bCs/>
                <w:color w:val="FFFFFF"/>
                <w:sz w:val="19"/>
                <w:szCs w:val="19"/>
              </w:rPr>
              <w:t xml:space="preserve">Mode</w:t>
            </w:r>
          </w:p>
        </w:tc>
        <w:tc>
          <w:tcPr>
            <w:tcW w:type="dxa" w:w="3900"/>
            <w:shd w:fill="1F4E79" w:color="auto" w:val="clear"/>
            <w:tcMar>
              <w:top w:type="dxa" w:w="80"/>
              <w:left w:type="dxa" w:w="120"/>
              <w:bottom w:type="dxa" w:w="80"/>
              <w:right w:type="dxa" w:w="120"/>
            </w:tcMar>
          </w:tcPr>
          <w:p>
            <w:pPr>
              <w:spacing w:after="0"/>
            </w:pPr>
            <w:r>
              <w:rPr>
                <w:b/>
                <w:bCs/>
                <w:color w:val="FFFFFF"/>
                <w:sz w:val="19"/>
                <w:szCs w:val="19"/>
              </w:rPr>
              <w:t xml:space="preserve">Use it when</w:t>
            </w:r>
          </w:p>
        </w:tc>
        <w:tc>
          <w:tcPr>
            <w:tcW w:type="dxa" w:w="3500"/>
            <w:shd w:fill="1F4E79" w:color="auto" w:val="clear"/>
            <w:tcMar>
              <w:top w:type="dxa" w:w="80"/>
              <w:left w:type="dxa" w:w="120"/>
              <w:bottom w:type="dxa" w:w="80"/>
              <w:right w:type="dxa" w:w="120"/>
            </w:tcMar>
          </w:tcPr>
          <w:p>
            <w:pPr>
              <w:spacing w:after="0"/>
            </w:pPr>
            <w:r>
              <w:rPr>
                <w:b/>
                <w:bCs/>
                <w:color w:val="FFFFFF"/>
                <w:sz w:val="19"/>
                <w:szCs w:val="19"/>
              </w:rPr>
              <w:t xml:space="preserve">Produces</w:t>
            </w:r>
          </w:p>
        </w:tc>
      </w:tr>
      <w:tr>
        <w:trPr>
          <w:cantSplit/>
          <w:tblHeader w:val="false"/>
        </w:trPr>
        <w:tc>
          <w:tcPr>
            <w:tcW w:type="dxa" w:w="1600"/>
            <w:shd w:fill="FFFFFF" w:color="auto" w:val="clear"/>
            <w:tcMar>
              <w:top w:type="dxa" w:w="80"/>
              <w:left w:type="dxa" w:w="120"/>
              <w:bottom w:type="dxa" w:w="80"/>
              <w:right w:type="dxa" w:w="120"/>
            </w:tcMar>
          </w:tcPr>
          <w:p>
            <w:pPr>
              <w:spacing w:after="0"/>
            </w:pPr>
            <w:r>
              <w:rPr>
                <w:b w:val="false"/>
                <w:bCs w:val="false"/>
                <w:color w:val="000000"/>
                <w:sz w:val="19"/>
                <w:szCs w:val="19"/>
              </w:rPr>
              <w:t xml:space="preserve">A. Generate</w:t>
            </w:r>
          </w:p>
        </w:tc>
        <w:tc>
          <w:tcPr>
            <w:tcW w:type="dxa" w:w="3900"/>
            <w:shd w:fill="FFFFFF" w:color="auto" w:val="clear"/>
            <w:tcMar>
              <w:top w:type="dxa" w:w="80"/>
              <w:left w:type="dxa" w:w="120"/>
              <w:bottom w:type="dxa" w:w="80"/>
              <w:right w:type="dxa" w:w="120"/>
            </w:tcMar>
          </w:tcPr>
          <w:p>
            <w:pPr>
              <w:spacing w:after="0"/>
            </w:pPr>
            <w:r>
              <w:rPr>
                <w:b w:val="false"/>
                <w:bCs w:val="false"/>
                <w:color w:val="000000"/>
                <w:sz w:val="19"/>
                <w:szCs w:val="19"/>
              </w:rPr>
              <w:t xml:space="preserve">A segment cannot be reached yet, or a discussion guide needs piloting, or a one-sided finding needs pressure-testing</w:t>
            </w:r>
          </w:p>
        </w:tc>
        <w:tc>
          <w:tcPr>
            <w:tcW w:type="dxa" w:w="3500"/>
            <w:shd w:fill="FFFFFF" w:color="auto" w:val="clear"/>
            <w:tcMar>
              <w:top w:type="dxa" w:w="80"/>
              <w:left w:type="dxa" w:w="120"/>
              <w:bottom w:type="dxa" w:w="80"/>
              <w:right w:type="dxa" w:w="120"/>
            </w:tcMar>
          </w:tcPr>
          <w:p>
            <w:pPr>
              <w:spacing w:after="0"/>
            </w:pPr>
            <w:r>
              <w:rPr>
                <w:b w:val="false"/>
                <w:bCs w:val="false"/>
                <w:color w:val="000000"/>
                <w:sz w:val="19"/>
                <w:szCs w:val="19"/>
              </w:rPr>
              <w:t xml:space="preserve">A labelled synthetic transcript plus hypotheses to verify</w:t>
            </w:r>
          </w:p>
        </w:tc>
      </w:tr>
      <w:tr>
        <w:trPr>
          <w:cantSplit/>
          <w:tblHeader w:val="false"/>
        </w:trPr>
        <w:tc>
          <w:tcPr>
            <w:tcW w:type="dxa" w:w="1600"/>
            <w:shd w:fill="FFFFFF" w:color="auto" w:val="clear"/>
            <w:tcMar>
              <w:top w:type="dxa" w:w="80"/>
              <w:left w:type="dxa" w:w="120"/>
              <w:bottom w:type="dxa" w:w="80"/>
              <w:right w:type="dxa" w:w="120"/>
            </w:tcMar>
          </w:tcPr>
          <w:p>
            <w:pPr>
              <w:spacing w:after="0"/>
            </w:pPr>
            <w:r>
              <w:rPr>
                <w:b w:val="false"/>
                <w:bCs w:val="false"/>
                <w:color w:val="000000"/>
                <w:sz w:val="19"/>
                <w:szCs w:val="19"/>
              </w:rPr>
              <w:t xml:space="preserve">B. Synthesize</w:t>
            </w:r>
          </w:p>
        </w:tc>
        <w:tc>
          <w:tcPr>
            <w:tcW w:type="dxa" w:w="3900"/>
            <w:shd w:fill="FFFFFF" w:color="auto" w:val="clear"/>
            <w:tcMar>
              <w:top w:type="dxa" w:w="80"/>
              <w:left w:type="dxa" w:w="120"/>
              <w:bottom w:type="dxa" w:w="80"/>
              <w:right w:type="dxa" w:w="120"/>
            </w:tcMar>
          </w:tcPr>
          <w:p>
            <w:pPr>
              <w:spacing w:after="0"/>
            </w:pPr>
            <w:r>
              <w:rPr>
                <w:b w:val="false"/>
                <w:bCs w:val="false"/>
                <w:color w:val="000000"/>
                <w:sz w:val="19"/>
                <w:szCs w:val="19"/>
              </w:rPr>
              <w:t xml:space="preserve">Transcripts, debriefs, or field notes need to become themes and claims</w:t>
            </w:r>
          </w:p>
        </w:tc>
        <w:tc>
          <w:tcPr>
            <w:tcW w:type="dxa" w:w="3500"/>
            <w:shd w:fill="FFFFFF" w:color="auto" w:val="clear"/>
            <w:tcMar>
              <w:top w:type="dxa" w:w="80"/>
              <w:left w:type="dxa" w:w="120"/>
              <w:bottom w:type="dxa" w:w="80"/>
              <w:right w:type="dxa" w:w="120"/>
            </w:tcMar>
          </w:tcPr>
          <w:p>
            <w:pPr>
              <w:spacing w:after="0"/>
            </w:pPr>
            <w:r>
              <w:rPr>
                <w:b w:val="false"/>
                <w:bCs w:val="false"/>
                <w:color w:val="000000"/>
                <w:sz w:val="19"/>
                <w:szCs w:val="19"/>
              </w:rPr>
              <w:t xml:space="preserve">A findings table plus a narrative report, every claim graded</w:t>
            </w:r>
          </w:p>
        </w:tc>
      </w:tr>
      <w:tr>
        <w:trPr>
          <w:cantSplit/>
          <w:tblHeader w:val="false"/>
        </w:trPr>
        <w:tc>
          <w:tcPr>
            <w:tcW w:type="dxa" w:w="1600"/>
            <w:shd w:fill="FFFFFF" w:color="auto" w:val="clear"/>
            <w:tcMar>
              <w:top w:type="dxa" w:w="80"/>
              <w:left w:type="dxa" w:w="120"/>
              <w:bottom w:type="dxa" w:w="80"/>
              <w:right w:type="dxa" w:w="120"/>
            </w:tcMar>
          </w:tcPr>
          <w:p>
            <w:pPr>
              <w:spacing w:after="0"/>
            </w:pPr>
            <w:r>
              <w:rPr>
                <w:b w:val="false"/>
                <w:bCs w:val="false"/>
                <w:color w:val="000000"/>
                <w:sz w:val="19"/>
                <w:szCs w:val="19"/>
              </w:rPr>
              <w:t xml:space="preserve">C. Panel</w:t>
            </w:r>
          </w:p>
        </w:tc>
        <w:tc>
          <w:tcPr>
            <w:tcW w:type="dxa" w:w="3900"/>
            <w:shd w:fill="FFFFFF" w:color="auto" w:val="clear"/>
            <w:tcMar>
              <w:top w:type="dxa" w:w="80"/>
              <w:left w:type="dxa" w:w="120"/>
              <w:bottom w:type="dxa" w:w="80"/>
              <w:right w:type="dxa" w:w="120"/>
            </w:tcMar>
          </w:tcPr>
          <w:p>
            <w:pPr>
              <w:spacing w:after="0"/>
            </w:pPr>
            <w:r>
              <w:rPr>
                <w:b w:val="false"/>
                <w:bCs w:val="false"/>
                <w:color w:val="000000"/>
                <w:sz w:val="19"/>
                <w:szCs w:val="19"/>
              </w:rPr>
              <w:t xml:space="preserve">An idea needs stress-testing against the people you already interviewed, while switching costs are low</w:t>
            </w:r>
          </w:p>
        </w:tc>
        <w:tc>
          <w:tcPr>
            <w:tcW w:type="dxa" w:w="3500"/>
            <w:shd w:fill="FFFFFF" w:color="auto" w:val="clear"/>
            <w:tcMar>
              <w:top w:type="dxa" w:w="80"/>
              <w:left w:type="dxa" w:w="120"/>
              <w:bottom w:type="dxa" w:w="80"/>
              <w:right w:type="dxa" w:w="120"/>
            </w:tcMar>
          </w:tcPr>
          <w:p>
            <w:pPr>
              <w:spacing w:after="0"/>
            </w:pPr>
            <w:r>
              <w:rPr>
                <w:b w:val="false"/>
                <w:bCs w:val="false"/>
                <w:color w:val="000000"/>
                <w:sz w:val="19"/>
                <w:szCs w:val="19"/>
              </w:rPr>
              <w:t xml:space="preserve">Short in-voice reactions from each stakeholder, tied to their quotes</w:t>
            </w:r>
          </w:p>
        </w:tc>
      </w:tr>
    </w:tbl>
    <w:p>
      <w:pPr>
        <w:spacing w:after="120"/>
      </w:pPr>
    </w:p>
    <w:p>
      <w:pPr>
        <w:spacing w:after="140"/>
      </w:pPr>
      <w:r>
        <w:rPr>
          <w:i w:val="false"/>
          <w:iCs w:val="false"/>
          <w:sz w:val="22"/>
          <w:szCs w:val="22"/>
        </w:rPr>
        <w:t xml:space="preserve">The shared guardrails, stated once and referenced by all three modes: ground before you generate, label every synthetic artifact permanently in both its title and its filename, never let identifiable patient data cross the model boundary in either direction, give a voice a seat only when there is a source behind it, and disclose provenance wherever synthetic material is used.</w:t>
      </w:r>
    </w:p>
    <w:p>
      <w:pPr>
        <w:spacing w:after="140"/>
      </w:pPr>
      <w:r>
        <w:rPr>
          <w:i w:val="false"/>
          <w:iCs w:val="false"/>
          <w:sz w:val="22"/>
          <w:szCs w:val="22"/>
        </w:rPr>
        <w:t xml:space="preserve">The evidence ladder governs everything. A claim is a Finding only when at least two independent real sources agree. Synthetic sources never count toward that number, however many there are. Participant counts are real people only. Panel output is rehearsal and is not evidence at all.</w:t>
      </w:r>
    </w:p>
    <w:p>
      <w:pPr>
        <w:pStyle w:val="Heading1"/>
        <w:spacing w:after="160" w:before="360"/>
      </w:pPr>
      <w:r>
        <w:t xml:space="preserve">7. Before and after</w:t>
      </w:r>
    </w:p>
    <w:p>
      <w:pPr>
        <w:spacing w:after="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cantSplit/>
          <w:tblHeader/>
        </w:trPr>
        <w:tc>
          <w:tcPr>
            <w:tcW w:type="dxa" w:w="4500"/>
            <w:shd w:fill="1F4E79" w:color="auto" w:val="clear"/>
            <w:tcMar>
              <w:top w:type="dxa" w:w="80"/>
              <w:left w:type="dxa" w:w="120"/>
              <w:bottom w:type="dxa" w:w="80"/>
              <w:right w:type="dxa" w:w="120"/>
            </w:tcMar>
          </w:tcPr>
          <w:p>
            <w:pPr>
              <w:spacing w:after="0"/>
            </w:pPr>
            <w:r>
              <w:rPr>
                <w:b/>
                <w:bCs/>
                <w:color w:val="FFFFFF"/>
                <w:sz w:val="19"/>
                <w:szCs w:val="19"/>
              </w:rPr>
              <w:t xml:space="preserve">Before</w:t>
            </w:r>
          </w:p>
        </w:tc>
        <w:tc>
          <w:tcPr>
            <w:tcW w:type="dxa" w:w="4500"/>
            <w:shd w:fill="1F4E79" w:color="auto" w:val="clear"/>
            <w:tcMar>
              <w:top w:type="dxa" w:w="80"/>
              <w:left w:type="dxa" w:w="120"/>
              <w:bottom w:type="dxa" w:w="80"/>
              <w:right w:type="dxa" w:w="120"/>
            </w:tcMar>
          </w:tcPr>
          <w:p>
            <w:pPr>
              <w:spacing w:after="0"/>
            </w:pPr>
            <w:r>
              <w:rPr>
                <w:b/>
                <w:bCs/>
                <w:color w:val="FFFFFF"/>
                <w:sz w:val="19"/>
                <w:szCs w:val="19"/>
              </w:rPr>
              <w:t xml:space="preserve">After</w:t>
            </w:r>
          </w:p>
        </w:tc>
      </w:tr>
      <w:tr>
        <w:trPr>
          <w:cantSplit/>
          <w:tblHeader w:val="false"/>
        </w:trPr>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 (correct)</w:t>
            </w:r>
          </w:p>
        </w:tc>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 (the merged skill, three modes)</w:t>
            </w:r>
          </w:p>
        </w:tc>
      </w:tr>
      <w:tr>
        <w:trPr>
          <w:cantSplit/>
          <w:tblHeader w:val="false"/>
        </w:trPr>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skills/interview-synth/interview-synthesis.skill (a zip inside another skill, later deleted)</w:t>
            </w:r>
          </w:p>
        </w:tc>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skills/interview-synth/references/background.md</w:t>
            </w:r>
          </w:p>
        </w:tc>
      </w:tr>
      <w:tr>
        <w:trPr>
          <w:cantSplit/>
          <w:tblHeader w:val="false"/>
        </w:trPr>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skills/interview-synthesis-anat/SKILL.md (the same file, re-uploaded)</w:t>
            </w:r>
          </w:p>
        </w:tc>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skills/interview-synth/assets/SYNTHETIC_family_interview_example.md</w:t>
            </w:r>
          </w:p>
        </w:tc>
      </w:tr>
      <w:tr>
        <w:trPr>
          <w:cantSplit/>
          <w:tblHeader w:val="false"/>
        </w:trPr>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skills/interview-synth-Gal (loose file, no frontmatter, cannot load)</w:t>
            </w:r>
          </w:p>
        </w:tc>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skills/README.md (the comparison and the rationale)</w:t>
            </w:r>
          </w:p>
        </w:tc>
      </w:tr>
      <w:tr>
        <w:trPr>
          <w:cantSplit/>
          <w:tblHeader w:val="false"/>
        </w:trPr>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.claude/skills/progress-tracking/SKILL.md (different directory)</w:t>
            </w:r>
          </w:p>
        </w:tc>
        <w:tc>
          <w:tcPr>
            <w:tcW w:type="dxa" w:w="4500"/>
            <w:shd w:fill="FFFFFF" w:color="auto" w:val="clear"/>
            <w:tcMar>
              <w:top w:type="dxa" w:w="80"/>
              <w:left w:type="dxa" w:w="120"/>
              <w:bottom w:type="dxa" w:w="80"/>
              <w:right w:type="dxa" w:w="120"/>
            </w:tcMar>
          </w:tcPr>
          <w:p>
            <w:pPr>
              <w:spacing w:after="0"/>
            </w:pPr>
            <w:r>
              <w:rPr>
                <w:b w:val="false"/>
                <w:bCs w:val="false"/>
                <w:color w:val="000000"/>
                <w:sz w:val="19"/>
                <w:szCs w:val="19"/>
              </w:rPr>
              <w:t xml:space="preserve">.claude/skills/progress-tracking/SKILL.md (unchanged, different job)</w:t>
            </w:r>
          </w:p>
        </w:tc>
      </w:tr>
    </w:tbl>
    <w:p>
      <w:pPr>
        <w:spacing w:after="120"/>
      </w:pPr>
    </w:p>
    <w:p>
      <w:pPr>
        <w:spacing w:after="140"/>
      </w:pPr>
      <w:r>
        <w:rPr>
          <w:i w:val="false"/>
          <w:iCs w:val="false"/>
          <w:sz w:val="22"/>
          <w:szCs w:val="22"/>
        </w:rPr>
        <w:t xml:space="preserve">Every original is preserved in git history and in a _to_delete folder, so nothing was lost and any decision here is reversible.</w:t>
      </w:r>
    </w:p>
    <w:p>
      <w:pPr>
        <w:pStyle w:val="Heading1"/>
        <w:spacing w:after="160" w:before="360"/>
      </w:pPr>
      <w:r>
        <w:t xml:space="preserve">8. What we would tell another team</w:t>
      </w:r>
    </w:p>
    <w:p>
      <w:pPr>
        <w:pStyle w:val="ListParagraph"/>
        <w:numPr>
          <w:ilvl w:val="0"/>
          <w:numId w:val="3"/>
        </w:numPr>
        <w:spacing w:after="80"/>
      </w:pPr>
      <w:r>
        <w:rPr>
          <w:sz w:val="22"/>
          <w:szCs w:val="22"/>
        </w:rPr>
        <w:t xml:space="preserve">Decide where skills live before anyone writes one. Four people picked four different locations and three were unusable.</w:t>
      </w:r>
    </w:p>
    <w:p>
      <w:pPr>
        <w:pStyle w:val="ListParagraph"/>
        <w:numPr>
          <w:ilvl w:val="0"/>
          <w:numId w:val="3"/>
        </w:numPr>
        <w:spacing w:after="80"/>
      </w:pPr>
      <w:r>
        <w:rPr>
          <w:sz w:val="22"/>
          <w:szCs w:val="22"/>
        </w:rPr>
        <w:t xml:space="preserve">Parallel independent attempts are worth the duplication. The rules that three people arrived at separately are the rules that are actually true.</w:t>
      </w:r>
    </w:p>
    <w:p>
      <w:pPr>
        <w:pStyle w:val="ListParagraph"/>
        <w:numPr>
          <w:ilvl w:val="0"/>
          <w:numId w:val="3"/>
        </w:numPr>
        <w:spacing w:after="80"/>
      </w:pPr>
      <w:r>
        <w:rPr>
          <w:sz w:val="22"/>
          <w:szCs w:val="22"/>
        </w:rPr>
        <w:t xml:space="preserve">Treat the name and description as routing logic, not documentation. Two skills four characters apart will be confused by humans and models alike.</w:t>
      </w:r>
    </w:p>
    <w:p>
      <w:pPr>
        <w:pStyle w:val="ListParagraph"/>
        <w:numPr>
          <w:ilvl w:val="0"/>
          <w:numId w:val="3"/>
        </w:numPr>
        <w:spacing w:after="80"/>
      </w:pPr>
      <w:r>
        <w:rPr>
          <w:sz w:val="22"/>
          <w:szCs w:val="22"/>
        </w:rPr>
        <w:t xml:space="preserve">Packaging is not a formality. A skill with no frontmatter cannot load, however good its content.</w:t>
      </w:r>
    </w:p>
    <w:p>
      <w:pPr>
        <w:pStyle w:val="ListParagraph"/>
        <w:numPr>
          <w:ilvl w:val="0"/>
          <w:numId w:val="3"/>
        </w:numPr>
        <w:spacing w:after="80"/>
      </w:pPr>
      <w:r>
        <w:rPr>
          <w:sz w:val="22"/>
          <w:szCs w:val="22"/>
        </w:rPr>
        <w:t xml:space="preserve">Review a merge adversarially. Concatenating guardrails produces rules that are true in one context and false in another, and the contradiction will not be adjacent.</w:t>
      </w:r>
    </w:p>
    <w:p>
      <w:pPr>
        <w:pStyle w:val="Heading1"/>
        <w:spacing w:after="160" w:before="360"/>
      </w:pPr>
      <w:r>
        <w:t xml:space="preserve">9. Slide-ready one-liners</w:t>
      </w:r>
    </w:p>
    <w:p>
      <w:pPr>
        <w:spacing w:after="140"/>
      </w:pPr>
      <w:r>
        <w:rPr>
          <w:i/>
          <w:iCs/>
          <w:color w:val="595959"/>
          <w:sz w:val="22"/>
          <w:szCs w:val="22"/>
        </w:rPr>
        <w:t xml:space="preserve">Lifted straight from the sections above, for the final deck.</w:t>
      </w:r>
    </w:p>
    <w:p>
      <w:pPr>
        <w:pStyle w:val="ListParagraph"/>
        <w:numPr>
          <w:ilvl w:val="0"/>
          <w:numId w:val="2"/>
        </w:numPr>
        <w:spacing w:after="80"/>
      </w:pPr>
      <w:r>
        <w:rPr>
          <w:sz w:val="22"/>
          <w:szCs w:val="22"/>
        </w:rPr>
        <w:t xml:space="preserve">We were asked for one shared skill. We built four, by accident, and learned more that way.</w:t>
      </w:r>
    </w:p>
    <w:p>
      <w:pPr>
        <w:pStyle w:val="ListParagraph"/>
        <w:numPr>
          <w:ilvl w:val="0"/>
          <w:numId w:val="2"/>
        </w:numPr>
        <w:spacing w:after="80"/>
      </w:pPr>
      <w:r>
        <w:rPr>
          <w:sz w:val="22"/>
          <w:szCs w:val="22"/>
        </w:rPr>
        <w:t xml:space="preserve">Three people, three vocabularies, one rule: synthetic material never counts as evidence.</w:t>
      </w:r>
    </w:p>
    <w:p>
      <w:pPr>
        <w:pStyle w:val="ListParagraph"/>
        <w:numPr>
          <w:ilvl w:val="0"/>
          <w:numId w:val="2"/>
        </w:numPr>
        <w:spacing w:after="80"/>
      </w:pPr>
      <w:r>
        <w:rPr>
          <w:sz w:val="22"/>
          <w:szCs w:val="22"/>
        </w:rPr>
        <w:t xml:space="preserve">The four of us reconstructed our own research pipeline without discussing it: generate, synthesize, replay.</w:t>
      </w:r>
    </w:p>
    <w:p>
      <w:pPr>
        <w:pStyle w:val="ListParagraph"/>
        <w:numPr>
          <w:ilvl w:val="0"/>
          <w:numId w:val="2"/>
        </w:numPr>
        <w:spacing w:after="80"/>
      </w:pPr>
      <w:r>
        <w:rPr>
          <w:sz w:val="22"/>
          <w:szCs w:val="22"/>
        </w:rPr>
        <w:t xml:space="preserve">Two skills, four characters apart, opposite meanings. The name is the interface.</w:t>
      </w:r>
    </w:p>
    <w:p>
      <w:pPr>
        <w:pStyle w:val="ListParagraph"/>
        <w:numPr>
          <w:ilvl w:val="0"/>
          <w:numId w:val="2"/>
        </w:numPr>
        <w:spacing w:after="80"/>
      </w:pPr>
      <w:r>
        <w:rPr>
          <w:sz w:val="22"/>
          <w:szCs w:val="22"/>
        </w:rPr>
        <w:t xml:space="preserve">The best guardrail in the set sat in a file that could never load.</w:t>
      </w:r>
    </w:p>
    <w:p>
      <w:pPr>
        <w:pStyle w:val="ListParagraph"/>
        <w:numPr>
          <w:ilvl w:val="0"/>
          <w:numId w:val="2"/>
        </w:numPr>
        <w:spacing w:after="80"/>
      </w:pPr>
      <w:r>
        <w:rPr>
          <w:sz w:val="22"/>
          <w:szCs w:val="22"/>
        </w:rPr>
        <w:t xml:space="preserve">Merging guardrails created a rule that forbade the skill's own headline use case. Adversarial review caught it.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abstractNum>
  <w:abstractNum w:abstractNumId="3" w15:restartNumberingAfterBreak="0">
    <w:multiLevelType w:val="hybridMultilevel"/>
    <w:lvl w:ilvl="0" w15:tentative="1">
      <w:start w:val="1"/>
      <w:numFmt w:val="decimal"/>
      <w:lvlText w:val="%1."/>
      <w:lvlJc w:val="left"/>
      <w:pPr>
        <w:ind w:left="42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Calibri" w:cs="Calibri" w:eastAsia="Calibri" w:hAnsi="Calibri"/>
      <w:b/>
      <w:bCs/>
      <w:color w:val="1F4E79"/>
      <w:sz w:val="32"/>
      <w:szCs w:val="32"/>
    </w:rPr>
  </w:style>
  <w:style w:type="paragraph" w:styleId="Heading2">
    <w:name w:val="Heading 2"/>
    <w:basedOn w:val="Normal"/>
    <w:next w:val="Normal"/>
    <w:qFormat/>
    <w:pPr>
      <w:spacing w:after="120" w:before="260"/>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2026-07-31T07:57:08.610Z</dcterms:created>
  <dcterms:modified xsi:type="dcterms:W3CDTF">2026-07-31T07:57:08.610Z</dcterms:modified>
</cp:coreProperties>
</file>

<file path=docProps/custom.xml><?xml version="1.0" encoding="utf-8"?>
<Properties xmlns="http://schemas.openxmlformats.org/officeDocument/2006/custom-properties" xmlns:vt="http://schemas.openxmlformats.org/officeDocument/2006/docPropsVTypes"/>
</file>