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Arial" w:hAnsi="Arial"/>
          <w:b/>
          <w:color w:val="149A9A"/>
          <w:sz w:val="18"/>
        </w:rPr>
        <w:t>ДОПОЛНИТЕЛЬНОЕ СОГЛАШЕНИЕ  ·  BONUS-SALES-Q3-2025</w:t>
      </w:r>
    </w:p>
    <w:p>
      <w:pPr>
        <w:pStyle w:val="Title"/>
        <w:spacing w:after="240"/>
      </w:pPr>
      <w:r>
        <w:t>Квартальный бонус отдела продаж</w:t>
      </w:r>
    </w:p>
    <w:p>
      <w:pPr>
        <w:spacing w:after="200"/>
      </w:pPr>
      <w:r>
        <w:t>Настоящее дополнительное соглашение устанавливает специальный порядок и применяется вместе с базовым корпоративным документом.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81"/>
        <w:gridCol w:w="7030"/>
      </w:tblGrid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ДАТА ВСТУПЛЕНИЯ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1 июля 2025 года; применяется к результатам III квартала 2025 года.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ОБЛАСТЬ ДЕЙСТВИЯ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Штатные сотрудники отдела продаж, имеющие утверждённый индивидуальный план выручки.</w:t>
            </w:r>
          </w:p>
        </w:tc>
      </w:tr>
      <w:tr>
        <w:tc>
          <w:tcPr>
            <w:tcW w:type="dxa" w:w="238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17324D"/>
          </w:tcPr>
          <w:p>
            <w:r>
              <w:rPr>
                <w:rFonts w:ascii="Arial" w:hAnsi="Arial"/>
                <w:b/>
                <w:color w:val="FFFFFF"/>
                <w:sz w:val="16"/>
              </w:rPr>
              <w:t>ПРИОРИТЕТ</w:t>
            </w:r>
          </w:p>
        </w:tc>
        <w:tc>
          <w:tcPr>
            <w:tcW w:type="dxa" w:w="703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EAF3F3"/>
          </w:tcPr>
          <w:p>
            <w:r>
              <w:rPr>
                <w:rFonts w:ascii="Arial" w:hAnsi="Arial"/>
                <w:color w:val="263746"/>
                <w:sz w:val="18"/>
              </w:rPr>
              <w:t>Имеет приоритет над базовым целевым бонусом 10% только при расчёте бонуса за III квартал 2025 года.</w:t>
            </w:r>
          </w:p>
        </w:tc>
      </w:tr>
    </w:tbl>
    <w:p>
      <w:pPr>
        <w:pStyle w:val="Heading1"/>
      </w:pPr>
      <w:r>
        <w:t>1. Целевой бонус</w:t>
      </w:r>
    </w:p>
    <w:p>
      <w:r>
        <w:t>При выполнении индивидуального плана выручки на 100% целевой бонус составляет 15% квартального оклада.</w:t>
      </w:r>
    </w:p>
    <w:p>
      <w:pPr>
        <w:pStyle w:val="Heading1"/>
      </w:pPr>
      <w:r>
        <w:t>2. Повышенный результат</w:t>
      </w:r>
    </w:p>
    <w:p>
      <w:r>
        <w:t>При выполнении плана свыше 120% бонус составляет 20% квартального оклада. Между 100% и 120% применяется линейная шкала от 15% до 20%.</w:t>
      </w:r>
    </w:p>
    <w:p>
      <w:pPr>
        <w:pStyle w:val="Heading1"/>
      </w:pPr>
      <w:r>
        <w:t>3. Минимальный порог</w:t>
      </w:r>
    </w:p>
    <w:p>
      <w:r>
        <w:t>При результате ниже 80% бонус не выплачивается. Возвраты клиента до даты расчёта уменьшают зачтённую выручку.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Работодатель: Acme Corp</w:t>
              <w:br/>
              <w:br/>
              <w:t>________________________</w:t>
            </w:r>
          </w:p>
        </w:tc>
        <w:tc>
          <w:tcPr>
            <w:tcW w:type="dxa" w:w="4706"/>
            <w:tcMar>
              <w:top w:w="160" w:type="dxa"/>
              <w:start w:w="120" w:type="dxa"/>
              <w:bottom w:w="60" w:type="dxa"/>
              <w:end w:w="120" w:type="dxa"/>
            </w:tcMar>
          </w:tcPr>
          <w:p>
            <w:pPr>
              <w:spacing w:before="200"/>
            </w:pPr>
            <w:r>
              <w:rPr>
                <w:rFonts w:ascii="Arial" w:hAnsi="Arial"/>
                <w:color w:val="607080"/>
                <w:sz w:val="16"/>
              </w:rPr>
              <w:t>Сотрудник / представитель подразделения</w:t>
              <w:br/>
              <w:br/>
              <w:t>________________________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07080"/>
        <w:sz w:val="16"/>
      </w:rPr>
      <w:t>Внутренний документ • контролируемая копия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b/>
        <w:color w:val="149A9A"/>
        <w:sz w:val="16"/>
      </w:rPr>
      <w:t>ACME CORP  /  PEOPLE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26374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