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49A9A"/>
          <w:sz w:val="18"/>
        </w:rPr>
        <w:t>ДОПОЛНИТЕЛЬНОЕ СОГЛАШЕНИЕ  ·  RW-SALES-2025</w:t>
      </w:r>
    </w:p>
    <w:p>
      <w:pPr>
        <w:pStyle w:val="Title"/>
        <w:spacing w:after="240"/>
      </w:pPr>
      <w:r>
        <w:t>Режим удалённой работы отдела продаж</w:t>
      </w:r>
    </w:p>
    <w:p>
      <w:pPr>
        <w:spacing w:after="200"/>
      </w:pPr>
      <w:r>
        <w:t>Настоящее дополнительное соглашение устанавливает специальный порядок и применяется вместе с базовым корпоративным документом.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ДАТА ВСТУПЛЕНИЯ</w:t>
            </w:r>
          </w:p>
        </w:tc>
        <w:tc>
          <w:tcPr>
            <w:tcW w:type="dxa" w:w="7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1 августа 2025 года; действует до 31 декабря 2026 года.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ОБЛАСТЬ ДЕЙСТВИЯ</w:t>
            </w:r>
          </w:p>
        </w:tc>
        <w:tc>
          <w:tcPr>
            <w:tcW w:type="dxa" w:w="7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Штатные сотрудники отдела продаж коммерческого блока, включая руководителей групп.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ПРИОРИТЕТ</w:t>
            </w:r>
          </w:p>
        </w:tc>
        <w:tc>
          <w:tcPr>
            <w:tcW w:type="dxa" w:w="7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Имеет приоритет над базовым лимитом удалённой работы в пределах области действия и срока.</w:t>
            </w:r>
          </w:p>
        </w:tc>
      </w:tr>
    </w:tbl>
    <w:p>
      <w:pPr>
        <w:pStyle w:val="Heading1"/>
      </w:pPr>
      <w:r>
        <w:t>1. Специальный режим</w:t>
      </w:r>
    </w:p>
    <w:p>
      <w:r>
        <w:t>Сотрудник может работать удалённо до трёх рабочих дней в неделю. Вторник и четверг являются обязательными офисными днями для встреч с командой.</w:t>
      </w:r>
    </w:p>
    <w:p>
      <w:pPr>
        <w:pStyle w:val="Heading1"/>
      </w:pPr>
      <w:r>
        <w:t>2. Согласование</w:t>
      </w:r>
    </w:p>
    <w:p>
      <w:r>
        <w:t>График на следующую неделю фиксируется в календаре до 16:00 пятницы. Руководитель вправе назначить дополнительный офисный день для клиентской встречи с уведомлением за два рабочих дня.</w:t>
      </w:r>
    </w:p>
    <w:p>
      <w:pPr>
        <w:pStyle w:val="Heading1"/>
      </w:pPr>
      <w:r>
        <w:t>3. Сохраняющиеся требования</w:t>
      </w:r>
    </w:p>
    <w:p>
      <w:r>
        <w:t>Правила учёта рабочего времени, защиты клиентских данных и доступности в корпоративном мессенджере применяются без изменений.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Mar>
              <w:top w:w="160" w:type="dxa"/>
              <w:start w:w="120" w:type="dxa"/>
              <w:bottom w:w="60" w:type="dxa"/>
              <w:end w:w="120" w:type="dxa"/>
            </w:tcMar>
          </w:tcPr>
          <w:p>
            <w:pPr>
              <w:spacing w:before="200"/>
            </w:pPr>
            <w:r>
              <w:rPr>
                <w:rFonts w:ascii="Arial" w:hAnsi="Arial"/>
                <w:color w:val="607080"/>
                <w:sz w:val="16"/>
              </w:rPr>
              <w:t>Работодатель: Acme Corp</w:t>
              <w:br/>
              <w:br/>
              <w:t>________________________</w:t>
            </w:r>
          </w:p>
        </w:tc>
        <w:tc>
          <w:tcPr>
            <w:tcW w:type="dxa" w:w="4706"/>
            <w:tcMar>
              <w:top w:w="160" w:type="dxa"/>
              <w:start w:w="120" w:type="dxa"/>
              <w:bottom w:w="60" w:type="dxa"/>
              <w:end w:w="120" w:type="dxa"/>
            </w:tcMar>
          </w:tcPr>
          <w:p>
            <w:pPr>
              <w:spacing w:before="200"/>
            </w:pPr>
            <w:r>
              <w:rPr>
                <w:rFonts w:ascii="Arial" w:hAnsi="Arial"/>
                <w:color w:val="607080"/>
                <w:sz w:val="16"/>
              </w:rPr>
              <w:t>Сотрудник / представитель подразделения</w:t>
              <w:br/>
              <w:br/>
              <w:t>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07080"/>
        <w:sz w:val="16"/>
      </w:rPr>
      <w:t>Внутренний документ • контролируемая копия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149A9A"/>
        <w:sz w:val="16"/>
      </w:rPr>
      <w:t>ACME CORP  /  PEOPLE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