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49A9A"/>
          <w:sz w:val="18"/>
        </w:rPr>
        <w:t>ДОПОЛНИТЕЛЬНОЕ СОГЛАШЕНИЕ  ·  SHIFT-SUPPORT-2025</w:t>
      </w:r>
    </w:p>
    <w:p>
      <w:pPr>
        <w:pStyle w:val="Title"/>
        <w:spacing w:after="240"/>
      </w:pPr>
      <w:r>
        <w:t>Сменный режим клиентской поддержки</w:t>
      </w:r>
    </w:p>
    <w:p>
      <w:pPr>
        <w:spacing w:after="200"/>
      </w:pPr>
      <w:r>
        <w:t>Настоящее дополнительное соглашение устанавливает специальный порядок и применяется вместе с базовым корпоративным документом.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ДАТА ВСТУПЛЕНИЯ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15 октября 2025 года; действует до 31 декабря 2026 года.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ОБЛАСТЬ ДЕЙСТВИЯ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Специалисты первой и второй линии клиентской поддержки после завершения адаптации.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Заменяет базовый пятидневный график и правила места работы только для утверждённых смен.</w:t>
            </w:r>
          </w:p>
        </w:tc>
      </w:tr>
    </w:tbl>
    <w:p>
      <w:pPr>
        <w:pStyle w:val="Heading1"/>
      </w:pPr>
      <w:r>
        <w:t>1. График смен</w:t>
      </w:r>
    </w:p>
    <w:p>
      <w:r>
        <w:t>Применяется цикл два рабочих дня через два выходных. Дневная смена: 08:00–20:00; ночная смена: 20:00–08:00. График публикуется не позднее чем за 14 календарных дней.</w:t>
      </w:r>
    </w:p>
    <w:p>
      <w:pPr>
        <w:pStyle w:val="Heading1"/>
      </w:pPr>
      <w:r>
        <w:t>2. Место работы</w:t>
      </w:r>
    </w:p>
    <w:p>
      <w:r>
        <w:t>Ночные смены выполняются удалённо через Corporate VPN. Дневная смена специалиста первой линии проходит в офисе; специалист второй линии может работать удалённо до двух дневных смен в месяц после согласования руководителя.</w:t>
      </w:r>
    </w:p>
    <w:p>
      <w:pPr>
        <w:pStyle w:val="Heading1"/>
      </w:pPr>
      <w:r>
        <w:t>3. Передача смены</w:t>
      </w:r>
    </w:p>
    <w:p>
      <w:r>
        <w:t>За 20 минут до окончания сотрудник обновляет журнал обращений и передаёт открытые инциденты следующей смене. Критический инцидент нельзя оставлять без назначенного владельца.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160" w:type="dxa"/>
              <w:start w:w="120" w:type="dxa"/>
              <w:bottom w:w="60" w:type="dxa"/>
              <w:end w:w="120" w:type="dxa"/>
            </w:tcMar>
          </w:tcPr>
          <w:p>
            <w:pPr>
              <w:spacing w:before="200"/>
            </w:pPr>
            <w:r>
              <w:rPr>
                <w:rFonts w:ascii="Arial" w:hAnsi="Arial"/>
                <w:color w:val="607080"/>
                <w:sz w:val="16"/>
              </w:rPr>
              <w:t>Работодатель: Acme Corp</w:t>
              <w:br/>
              <w:br/>
              <w:t>________________________</w:t>
            </w:r>
          </w:p>
        </w:tc>
        <w:tc>
          <w:tcPr>
            <w:tcW w:type="dxa" w:w="4706"/>
            <w:tcMar>
              <w:top w:w="160" w:type="dxa"/>
              <w:start w:w="120" w:type="dxa"/>
              <w:bottom w:w="60" w:type="dxa"/>
              <w:end w:w="120" w:type="dxa"/>
            </w:tcMar>
          </w:tcPr>
          <w:p>
            <w:pPr>
              <w:spacing w:before="200"/>
            </w:pPr>
            <w:r>
              <w:rPr>
                <w:rFonts w:ascii="Arial" w:hAnsi="Arial"/>
                <w:color w:val="607080"/>
                <w:sz w:val="16"/>
              </w:rPr>
              <w:t>Сотрудник / представитель подразделения</w:t>
              <w:br/>
              <w:br/>
              <w:t>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07080"/>
        <w:sz w:val="16"/>
      </w:rPr>
      <w:t>Внутренний документ • контролируемая копия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49A9A"/>
        <w:sz w:val="16"/>
      </w:rPr>
      <w:t>ACME CORP  /  PEOPLE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