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149A9A"/>
          <w:sz w:val="18"/>
        </w:rPr>
        <w:t>ТРУДОВОЙ ДОГОВОР · УЧЕБНЫЙ ОБРАЗЕЦ</w:t>
      </w:r>
    </w:p>
    <w:p>
      <w:pPr>
        <w:spacing w:after="100"/>
      </w:pPr>
      <w:r>
        <w:rPr>
          <w:rFonts w:ascii="Arial" w:hAnsi="Arial"/>
          <w:b/>
          <w:color w:val="17324D"/>
          <w:sz w:val="48"/>
        </w:rPr>
        <w:t>Трудовой договор сотрудника Acme Corp</w:t>
      </w:r>
    </w:p>
    <w:p>
      <w:pPr>
        <w:spacing w:after="240"/>
      </w:pPr>
      <w:r>
        <w:rPr>
          <w:rFonts w:ascii="Arial" w:hAnsi="Arial"/>
          <w:i/>
          <w:color w:val="607080"/>
          <w:sz w:val="22"/>
        </w:rPr>
        <w:t>Шаблон для демонстрации поиска условий труда; не является документом для подписания.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РАБОТОДАТЕЛЬ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Acme Corp, демонстрационная организация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СОТРУДНИК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Учебный пример без персональных данных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Бессрочный договор; начало работы — дата в кадровом приказе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ИСПЫТАНИЕ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Три месяца, если иное не указано в индивидуальном соглашении</w:t>
            </w:r>
          </w:p>
        </w:tc>
      </w:tr>
    </w:tbl>
    <w:p>
      <w:pPr>
        <w:pStyle w:val="Heading1"/>
      </w:pPr>
      <w:r>
        <w:t>1. Трудовая функция</w:t>
      </w:r>
    </w:p>
    <w:p>
      <w:r>
        <w:t>Сотрудник выполняет обязанности по должностной инструкции своего подразделения, соблюдает корпоративные политики и взаимодействует с назначенным руководителем.</w:t>
      </w:r>
    </w:p>
    <w:p>
      <w:pPr>
        <w:pStyle w:val="Heading1"/>
      </w:pPr>
      <w:r>
        <w:t>2. Рабочее время и формат</w:t>
      </w:r>
    </w:p>
    <w:p>
      <w:r>
        <w:t>Нормальная продолжительность — 40 часов в неделю. Базовый график: понедельник–пятница, 09:00–18:00, перерыв 13:00–14:00. Сменный или гибридный режим определяется политикой форматов работы и действующим дополнительным соглашением.</w:t>
      </w:r>
    </w:p>
    <w:p>
      <w:r>
        <w:t>Место работы может быть офисным, удалённым или гибридным. Специальное соглашение по подразделению имеет приоритет в пределах своей области действия и срока.</w:t>
      </w:r>
    </w:p>
    <w:p>
      <w:pPr>
        <w:pStyle w:val="Heading1"/>
      </w:pPr>
      <w:r>
        <w:t>3. Условия и обязанности</w:t>
      </w:r>
    </w:p>
    <w:p>
      <w:r>
        <w:t>Работодатель предоставляет управляемое устройство и необходимые доступы. Сотрудник обязан защищать данные, проходить обязательное обучение и сообщать об инцидентах.</w:t>
      </w:r>
    </w:p>
    <w:p>
      <w:r>
        <w:t>Изменение должности, оплаты, графика или постоянного места работы оформляется письменно.</w:t>
      </w:r>
    </w:p>
    <w:p>
      <w:pPr>
        <w:pStyle w:val="Heading1"/>
      </w:pPr>
      <w:r>
        <w:t>4. Завершение отношений</w:t>
      </w:r>
    </w:p>
    <w:p>
      <w:r>
        <w:t>В последний рабочий день сотрудник возвращает оборудование, передаёт рабочие материалы и подтверждает закрытие доступов через Service Desk.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07080"/>
        <w:sz w:val="16"/>
      </w:rPr>
      <w:t>Учебный документ • синтетические данные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149A9A"/>
        <w:sz w:val="16"/>
      </w:rPr>
      <w:t>ACME CORP  /  PEOPLE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