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b/>
          <w:color w:val="149A9A"/>
          <w:sz w:val="18"/>
        </w:rPr>
        <w:t>ИНСТРУКЦИЯ · РАБОЧЕЕ МЕСТО</w:t>
      </w:r>
    </w:p>
    <w:p>
      <w:pPr>
        <w:spacing w:after="100"/>
      </w:pPr>
      <w:r>
        <w:rPr>
          <w:rFonts w:ascii="Arial" w:hAnsi="Arial"/>
          <w:b/>
          <w:color w:val="17324D"/>
          <w:sz w:val="48"/>
        </w:rPr>
        <w:t>Первичная настройка рабочего компьютера</w:t>
      </w:r>
    </w:p>
    <w:p>
      <w:pPr>
        <w:spacing w:after="240"/>
      </w:pPr>
      <w:r>
        <w:rPr>
          <w:rFonts w:ascii="Arial" w:hAnsi="Arial"/>
          <w:i/>
          <w:color w:val="607080"/>
          <w:sz w:val="22"/>
        </w:rPr>
        <w:t>Пошаговый чек-лист для самостоятельной подготовки управляемого устройства.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ВЛАДЕЛЕЦ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3"/>
          </w:tcPr>
          <w:p>
            <w:r>
              <w:rPr>
                <w:rFonts w:ascii="Arial" w:hAnsi="Arial"/>
                <w:color w:val="263746"/>
                <w:sz w:val="18"/>
              </w:rPr>
              <w:t>IT Operations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ВЕРСИЯ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3"/>
          </w:tcPr>
          <w:p>
            <w:r>
              <w:rPr>
                <w:rFonts w:ascii="Arial" w:hAnsi="Arial"/>
                <w:color w:val="263746"/>
                <w:sz w:val="18"/>
              </w:rPr>
              <w:t>1.4 от 1 октября 2025 года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ПРИМЕНЕНИЕ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3"/>
          </w:tcPr>
          <w:p>
            <w:r>
              <w:rPr>
                <w:rFonts w:ascii="Arial" w:hAnsi="Arial"/>
                <w:color w:val="263746"/>
                <w:sz w:val="18"/>
              </w:rPr>
              <w:t>Windows 11 и macOS на оборудовании Acme Corp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ПОДДЕРЖКА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3"/>
          </w:tcPr>
          <w:p>
            <w:r>
              <w:rPr>
                <w:rFonts w:ascii="Arial" w:hAnsi="Arial"/>
                <w:color w:val="263746"/>
                <w:sz w:val="18"/>
              </w:rPr>
              <w:t>Service Desk → категория «Рабочее место»</w:t>
            </w:r>
          </w:p>
        </w:tc>
      </w:tr>
    </w:tbl>
    <w:p>
      <w:pPr>
        <w:pStyle w:val="Heading1"/>
      </w:pPr>
      <w:r>
        <w:t>1. До первого входа</w:t>
      </w:r>
    </w:p>
    <w:p>
      <w:r>
        <w:t>Сверьте инвентарный номер с актом выдачи, подключите питание и доверенную сеть. Не используйте личную учётную запись Apple, Microsoft или Google для первичной настройки.</w:t>
      </w:r>
    </w:p>
    <w:p>
      <w:pPr>
        <w:pStyle w:val="Heading1"/>
      </w:pPr>
      <w:r>
        <w:t>2. Управление и защита</w:t>
      </w:r>
    </w:p>
    <w:p>
      <w:r>
        <w:t>Активируйте ACME ID и MFA, дождитесь регистрации устройства в MDM, включите шифрование диска и автоматическую блокировку через 5 минут. Обновления операционной системы должны установиться до работы с корпоративными данными.</w:t>
      </w:r>
    </w:p>
    <w:p>
      <w:pPr>
        <w:pStyle w:val="Heading1"/>
      </w:pPr>
      <w:r>
        <w:t>3. Рабочее окружение</w:t>
      </w:r>
    </w:p>
    <w:p>
      <w:r>
        <w:t>Установите CorpMail, Connect, Service Desk и Corporate VPN из каталога приложений. Инженеры дополнительно получают GitLab и инструменты разработки после согласования.</w:t>
      </w:r>
    </w:p>
    <w:p>
      <w:r>
        <w:t>Проверьте вход через VPN, отправьте тестовое письмо наставнику и создайте подпись по корпоративному шаблону.</w:t>
      </w:r>
    </w:p>
    <w:p>
      <w:pPr>
        <w:pStyle w:val="Heading1"/>
      </w:pPr>
      <w:r>
        <w:t>4. Проверка готовности</w:t>
      </w:r>
    </w:p>
    <w:p>
      <w:r>
        <w:t>Устройство считается готовым, если MDM показывает статус compliant, MFA работает, CorpMail синхронизируется, VPN подключается, а требуемые системе доступны без общих паролей.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07080"/>
        <w:sz w:val="16"/>
      </w:rPr>
      <w:t>Учебный документ • синтетические данные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149A9A"/>
        <w:sz w:val="16"/>
      </w:rPr>
      <w:t>ACME CORP  /  PEOPLE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6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32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