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45BAF" w14:textId="77777777" w:rsidR="000B456F" w:rsidRDefault="0032250D">
      <w:pPr>
        <w:pStyle w:val="Title"/>
      </w:pPr>
      <w:r>
        <w:t xml:space="preserve">A window-based approach for genotype-environment association studies: </w:t>
      </w:r>
      <w:r>
        <w:rPr>
          <w:i/>
        </w:rPr>
        <w:t>Or a different, snappier title</w:t>
      </w:r>
    </w:p>
    <w:p w14:paraId="4EBE3DFC" w14:textId="77777777" w:rsidR="000B456F" w:rsidRDefault="0032250D">
      <w:pPr>
        <w:pStyle w:val="Author"/>
      </w:pPr>
      <w:r>
        <w:t>Tom R. Booker</w:t>
      </w:r>
    </w:p>
    <w:p w14:paraId="735CDEA9" w14:textId="77777777" w:rsidR="000B456F" w:rsidRDefault="0032250D">
      <w:pPr>
        <w:pStyle w:val="Author"/>
      </w:pPr>
      <w:r>
        <w:t>Samuel Yeaman</w:t>
      </w:r>
    </w:p>
    <w:p w14:paraId="4CD6EBBC" w14:textId="77777777" w:rsidR="000B456F" w:rsidRDefault="0032250D">
      <w:pPr>
        <w:pStyle w:val="Author"/>
      </w:pPr>
      <w:r>
        <w:t>Michael C. Whitlock</w:t>
      </w:r>
    </w:p>
    <w:p w14:paraId="6C1E6C54" w14:textId="77777777" w:rsidR="000B456F" w:rsidRDefault="0032250D">
      <w:pPr>
        <w:pStyle w:val="Heading1"/>
      </w:pPr>
      <w:bookmarkStart w:id="0" w:name="introduction"/>
      <w:r>
        <w:t>Introduction</w:t>
      </w:r>
      <w:bookmarkEnd w:id="0"/>
    </w:p>
    <w:p w14:paraId="543891EB" w14:textId="77777777" w:rsidR="00276073" w:rsidRDefault="0032250D">
      <w:pPr>
        <w:pStyle w:val="FirstParagraph"/>
      </w:pPr>
      <w:r>
        <w:t>With an understanding of the genes or genomic regions that contribute to local adaptation, we may develop an understanding of the genetic architecture of adaptation and inform models of the limits and constraints of evolvability (e.g. Yeaman et al. (2018))</w:t>
      </w:r>
      <w:r>
        <w:t>. In addition, knowledge of the loci or alleles involved in local adaptation may inform conservation management programs for buffering against the consequences of anthropogenic climate change (Aitken and Whitlock 2013).</w:t>
      </w:r>
    </w:p>
    <w:p w14:paraId="3073D032" w14:textId="77777777" w:rsidR="00276073" w:rsidRDefault="0032250D">
      <w:pPr>
        <w:pStyle w:val="FirstParagraph"/>
      </w:pPr>
      <w:r>
        <w:br/>
        <w:t>Alleles may vary in frequency across</w:t>
      </w:r>
      <w:r>
        <w:t xml:space="preserve"> a species’ range in response to changing environmental conditions that give rise to spatially varying selection pressures (Haldane 1948). For that reason, genetic variants that exhibit strong correlations with putatively selective features of the environm</w:t>
      </w:r>
      <w:r>
        <w:t>ent are often interpreted as a signature of local adaptation (Coop et al. 2010). Genotype-environment association (GEA) studies examine such correlations. Allele frequencies for many genetic markers, typically single nucleotide polymorphisms (hereafter SNP</w:t>
      </w:r>
      <w:r>
        <w:t>s), are estimated in numerous locations across a species’s range. Correlations between allele frequency and environmental variables are calculated then contrasted for sites across the genome. It is assumed in GEA studies that current heterogeneity in the e</w:t>
      </w:r>
      <w:r>
        <w:t>nvironment (whether biotic or abiotic) reflects the history of selection.</w:t>
      </w:r>
    </w:p>
    <w:p w14:paraId="3080F13D" w14:textId="77777777" w:rsidR="00276073" w:rsidRDefault="0032250D">
      <w:pPr>
        <w:pStyle w:val="FirstParagraph"/>
      </w:pPr>
      <w:r>
        <w:br/>
        <w:t>Numerous approaches for performing GEA analyses have been proposed. If individuals are sequenced, GEA can be performed by regressing environments on genotypes as a form of genome-wid</w:t>
      </w:r>
      <w:r>
        <w:t xml:space="preserve">e association study, for example using the </w:t>
      </w:r>
      <w:r>
        <w:rPr>
          <w:i/>
        </w:rPr>
        <w:t>GEMMA</w:t>
      </w:r>
      <w:r>
        <w:t xml:space="preserve"> package (Zhou, Carbonetto, and Stephens 2013). However, to estimate SNP effects with reasonable statistical power, many individuals may need to be sequenced. A cost-effective alternative is pooled sequencing</w:t>
      </w:r>
      <w:r>
        <w:t xml:space="preserve"> (hereafter pooled-seq), where allele frequencies for populations of individuals are estimated rather than individual genotypes (Schlötterer et al. 2014). In this study, we focus on analyses that can be performed on pooled-seq datasets given the wide adopt</w:t>
      </w:r>
      <w:r>
        <w:t>ion of that protocol in the GEA literature.</w:t>
      </w:r>
    </w:p>
    <w:p w14:paraId="47BDE0A7" w14:textId="77777777" w:rsidR="00276073" w:rsidRDefault="0032250D">
      <w:pPr>
        <w:pStyle w:val="FirstParagraph"/>
      </w:pPr>
      <w:r>
        <w:br/>
        <w:t xml:space="preserve">The most straightforward way to perform a GEA analysis is to simply examine the </w:t>
      </w:r>
      <w:r>
        <w:lastRenderedPageBreak/>
        <w:t>correlation between allele frequencies and environmental variables measured in multiple populations, for example using rank correlat</w:t>
      </w:r>
      <w:r>
        <w:t xml:space="preserve">ions such as Spearman’s </w:t>
      </w:r>
      <m:oMath>
        <m:r>
          <w:rPr>
            <w:rFonts w:ascii="Cambria Math" w:hAnsi="Cambria Math"/>
          </w:rPr>
          <m:t>ρ</m:t>
        </m:r>
      </m:oMath>
      <w:r>
        <w:t xml:space="preserve"> or Kendall’s </w:t>
      </w:r>
      <m:oMath>
        <m:r>
          <w:rPr>
            <w:rFonts w:ascii="Cambria Math" w:hAnsi="Cambria Math"/>
          </w:rPr>
          <m:t>τ</m:t>
        </m:r>
      </m:oMath>
      <w:r>
        <w:t>. This simple approach may commonly lead to false positives, however, if there is environmental variation across the focal species’s range that is correlated with patterns of gene flow or historical selection (Meir</w:t>
      </w:r>
      <w:r>
        <w:t>mans 2012; Novembre and Di Rienzo 2009). For example, consider a hypothetical species inhabiting a large latitudinal range. If the hypothetical species had restricted migration and exhibited isolation-by-distance, neutral alleles may be correlated with any</w:t>
      </w:r>
      <w:r>
        <w:t xml:space="preserve"> environmental variable that happened to correlate with latitude simply due to population structure.</w:t>
      </w:r>
    </w:p>
    <w:p w14:paraId="38AEB760" w14:textId="77777777" w:rsidR="00276073" w:rsidRDefault="0032250D">
      <w:pPr>
        <w:pStyle w:val="FirstParagraph"/>
      </w:pPr>
      <w:r>
        <w:br/>
        <w:t>Several approaches have been proposed to identify genotype-environment correlations above and beyond what is expected given underlying population structure</w:t>
      </w:r>
      <w:r>
        <w:t>. The commonly used BayPass (Gautier 2015) package, which is an extension of BayEnv by (Coop et al. 2010), estimates correlations between alleles and environmental variables in a two-step process. First, a population covariance matrix (</w:t>
      </w:r>
      <m:oMath>
        <m:r>
          <m:rPr>
            <m:sty m:val="b"/>
          </m:rPr>
          <w:rPr>
            <w:rFonts w:ascii="Cambria Math" w:hAnsi="Cambria Math"/>
          </w:rPr>
          <m:t>Ω</m:t>
        </m:r>
      </m:oMath>
      <w:r>
        <w:t>) is estimated fro</w:t>
      </w:r>
      <w:r>
        <w:t xml:space="preserve">m SNP data. Second, correlations between the frequencies of individual SNPs and environmental variation is estimated treating </w:t>
      </w:r>
      <m:oMath>
        <m:r>
          <m:rPr>
            <m:sty m:val="b"/>
          </m:rPr>
          <w:rPr>
            <w:rFonts w:ascii="Cambria Math" w:hAnsi="Cambria Math"/>
          </w:rPr>
          <m:t>Ω</m:t>
        </m:r>
      </m:oMath>
      <w:r>
        <w:t xml:space="preserve"> in a manner similar to a random effect in a generalised mixed model. Latent-factor mixed models (LFMM) are an alternative appro</w:t>
      </w:r>
      <w:r>
        <w:t>ach for performing GEA (Frichot et al. 2013), and are implemented in the LEA package (Frichot and François 2015). In LFMMs, an allele frequency matrix is regressed on environments with population structure modelled as a series of ’latent factors’, which ar</w:t>
      </w:r>
      <w:r>
        <w:t>e major axes of variation in the allele frequency matrix. For clarification, if one ran an LFMM on SNP data without environmental data and set the number of latent factors equal to the number of loci in the allele frequency matrix, the result would be simi</w:t>
      </w:r>
      <w:r>
        <w:t>lar to calculating the loadings in a principle components analysis. Finally, redundancy analysis (RDA) has been proposed as a way to perform GEA studies incorporating multiple environmental variables (Forester et al. 2016, 2018). In RDA, a multiple regress</w:t>
      </w:r>
      <w:r>
        <w:t>ion of allele frequencies at each SNP on environmental variables is performed. This leads to a matrix of fitted values with the same dimensions as the allele frequency matrix. A principle components analysis is then performed on the matrix of fitted values</w:t>
      </w:r>
      <w:r>
        <w:t xml:space="preserve"> and the loadings on the first few axes of variation are used as test statistics (Legendre and Legendre 2012). Note that RDA does not explicitly control for population structure. A recent study used simulated data to compare the relative performance of the</w:t>
      </w:r>
      <w:r>
        <w:t xml:space="preserve"> GEA methods we have outlined to identify loci that have a causal role in local adaptation (Lotterhos 2019). Overall, (Lotterhos 2019) found that a comparatively simple analysis calculating Spearman’s </w:t>
      </w:r>
      <m:oMath>
        <m:r>
          <w:rPr>
            <w:rFonts w:ascii="Cambria Math" w:hAnsi="Cambria Math"/>
          </w:rPr>
          <m:t>ρ</m:t>
        </m:r>
      </m:oMath>
      <w:r>
        <w:t xml:space="preserve"> between allele frequency and environment performed s</w:t>
      </w:r>
      <w:r>
        <w:t xml:space="preserve">imilarly to RDA, as measured by precision-recall curves, and both uncorrected approaches outperformed LFMMs and </w:t>
      </w:r>
      <w:r>
        <w:rPr>
          <w:i/>
        </w:rPr>
        <w:t>BayPass</w:t>
      </w:r>
      <w:r>
        <w:t xml:space="preserve">. In all of the GEA analysis methods outlined above, each SNP is treated independently, though the "AUX" mode in </w:t>
      </w:r>
      <w:r>
        <w:rPr>
          <w:i/>
        </w:rPr>
        <w:t>BayPass</w:t>
      </w:r>
      <w:r>
        <w:t xml:space="preserve"> can account for </w:t>
      </w:r>
      <w:r>
        <w:t>linkage disequilibrium by modelling the spatial dependency among SNPs. However, the "AUX" mode is recommended for zeroing in on particular regions rather than genome-wide scans (Gautier 2015).</w:t>
      </w:r>
    </w:p>
    <w:p w14:paraId="0474ADB8" w14:textId="77777777" w:rsidR="00276073" w:rsidRDefault="0032250D">
      <w:pPr>
        <w:pStyle w:val="FirstParagraph"/>
      </w:pPr>
      <w:r>
        <w:br/>
        <w:t>Closely linked SNPs are not independently inherited and may hav</w:t>
      </w:r>
      <w:r>
        <w:t xml:space="preserve">e highly correlated evolutionary histories. Individual SNPs may provide very noisy estimates of summary </w:t>
      </w:r>
      <w:r>
        <w:lastRenderedPageBreak/>
        <w:t>statistics, but by combining information across closely linked sites noise can be reduced. It is for that reason that genome scan studies often aggregat</w:t>
      </w:r>
      <w:r>
        <w:t xml:space="preserve">e data across adjacent markers into analysis windows based on a fixed physical or genetic distance or number of SNPs (Hoban et al. 2016). In the case of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the standard measure of population differentiation, there are numerous methods for combining es</w:t>
      </w:r>
      <w:r>
        <w:t>timates across sites (</w:t>
      </w:r>
      <w:r>
        <w:rPr>
          <w:i/>
        </w:rPr>
        <w:t>See</w:t>
      </w:r>
      <w:r>
        <w:t xml:space="preserve"> Bhatia et al. (2013)). In Weir and Cockerham’s ((1984)) method, for example, estimates of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for individual loci are combined into a single value with each marker’s contribution weighted by its allele frequency.</w:t>
      </w:r>
    </w:p>
    <w:p w14:paraId="662EB4F8" w14:textId="21BDABCD" w:rsidR="000B456F" w:rsidRDefault="0032250D">
      <w:pPr>
        <w:pStyle w:val="FirstParagraph"/>
      </w:pPr>
      <w:r>
        <w:br/>
        <w:t>In the context</w:t>
      </w:r>
      <w:r>
        <w:t xml:space="preserve"> of GEA studies, each marker or SNP provides a test of whether a particular genealogy is correlated with environmental heterogeneity. In the extreme case of a non-recombining region, each SNP would be present on the exact same genealogy and thus provide a </w:t>
      </w:r>
      <w:r>
        <w:t>test of identical hypotheses. However, the SNPs that are the most informative in this context are those at high frequencies as they contain the most information about the shape of the underlying genealogy. For recombining portions of the genome, however, l</w:t>
      </w:r>
      <w:r>
        <w:t xml:space="preserve">inked sites will not have the exact same genealogy, but genealogies may be highly correlated. Similar to combining estimates of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to decrease statistical noise, combining GEA tests performed on individual markers into analysis windows may increase the</w:t>
      </w:r>
      <w:r>
        <w:t xml:space="preserve"> power of GEA studies to identify genomic regions that contribute to local adaptation.</w:t>
      </w:r>
      <w:r>
        <w:br/>
        <w:t>In this study, we propose a general method for combining the results of single SNP GEA scores into analysis windows that we call the weighted-Z analysis (WZA). Using sim</w:t>
      </w:r>
      <w:r>
        <w:t>ulations, we generate datasets modelling a pooled-sequencing experiment where estimates of allele frequency are obtained for numerous populations across a species’ range. We analyse our simulated data and compare the performance of the WZA to current GEA a</w:t>
      </w:r>
      <w:r>
        <w:t>pproaches. We show that the WZA is particularly useful when GEA analyses on individual SNPs are noisy. We re-analyse previously published lodgepole pine data using the WZA and find several candidate loci that were not identified using the methods of the or</w:t>
      </w:r>
      <w:r>
        <w:t>iginal study.</w:t>
      </w:r>
    </w:p>
    <w:p w14:paraId="28E18202" w14:textId="77777777" w:rsidR="000B456F" w:rsidRDefault="0032250D">
      <w:pPr>
        <w:pStyle w:val="Heading2"/>
      </w:pPr>
      <w:bookmarkStart w:id="1" w:name="the-weighted-z-analysis"/>
      <w:r>
        <w:rPr>
          <w:u w:val="single"/>
        </w:rPr>
        <w:t>The Weighted-Z Analysis</w:t>
      </w:r>
      <w:bookmarkEnd w:id="1"/>
    </w:p>
    <w:p w14:paraId="29D7F9F0" w14:textId="77777777" w:rsidR="00276073" w:rsidRDefault="0032250D">
      <w:pPr>
        <w:pStyle w:val="FirstParagraph"/>
      </w:pPr>
      <w:r>
        <w:t>In this study, we propose the Weighted-Z Analysis (hereafter, the WZA) for combining information across linked sites in the context of GEA studies. The WZA uses the weighted-Z test, a test from the meta-analysis litera</w:t>
      </w:r>
      <w:r>
        <w:t xml:space="preserve">ture that combines </w:t>
      </w:r>
      <w:r>
        <w:rPr>
          <w:i/>
        </w:rPr>
        <w:t>p</w:t>
      </w:r>
      <w:r>
        <w:t xml:space="preserve">-values from multiple independent hypothesis tests into a single score. In the weighted-Z test, each of the </w:t>
      </w:r>
      <m:oMath>
        <m:r>
          <w:rPr>
            <w:rFonts w:ascii="Cambria Math" w:hAnsi="Cambria Math"/>
          </w:rPr>
          <m:t>n</m:t>
        </m:r>
      </m:oMath>
      <w:r>
        <w:t xml:space="preserve"> independent tests is given a weight that is proportional to the inverse of its error variance (Whitlock 2005). Inspired by We</w:t>
      </w:r>
      <w:r>
        <w:t xml:space="preserve">ir and Cockerham’s ((1984)) method for combining estimates of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across sites, in the WZA we use a marker’s allele frequency to determine weights when performing the weighted-Z test on GEA data. At a given polymorphic site, we denote the average freque</w:t>
      </w:r>
      <w:r>
        <w:t xml:space="preserve">ncy of the minor allele across populations as </w:t>
      </w:r>
      <m:oMath>
        <m:bar>
          <m:barPr>
            <m:pos m:val="top"/>
            <m:ctrlPr>
              <w:rPr>
                <w:rFonts w:ascii="Cambria Math" w:hAnsi="Cambria Math"/>
              </w:rPr>
            </m:ctrlPr>
          </m:barPr>
          <m:e>
            <m:r>
              <w:rPr>
                <w:rFonts w:ascii="Cambria Math" w:hAnsi="Cambria Math"/>
              </w:rPr>
              <m:t>p</m:t>
            </m:r>
          </m:e>
        </m:bar>
      </m:oMath>
      <w:r>
        <w:t xml:space="preserve"> (</w:t>
      </w:r>
      <m:oMath>
        <m:bar>
          <m:barPr>
            <m:pos m:val="top"/>
            <m:ctrlPr>
              <w:rPr>
                <w:rFonts w:ascii="Cambria Math" w:hAnsi="Cambria Math"/>
              </w:rPr>
            </m:ctrlPr>
          </m:barPr>
          <m:e>
            <m:r>
              <w:rPr>
                <w:rFonts w:ascii="Cambria Math" w:hAnsi="Cambria Math"/>
              </w:rPr>
              <m:t>q</m:t>
            </m:r>
          </m:e>
        </m:bar>
      </m:oMath>
      <w:r>
        <w:t xml:space="preserve"> corresponds to the major allele). The sampling variance of frequency for the minor allele from one generation to the next is </w:t>
      </w:r>
      <m:oMath>
        <m:f>
          <m:fPr>
            <m:ctrlPr>
              <w:rPr>
                <w:rFonts w:ascii="Cambria Math" w:hAnsi="Cambria Math"/>
              </w:rPr>
            </m:ctrlPr>
          </m:fPr>
          <m:num>
            <m:bar>
              <m:barPr>
                <m:pos m:val="top"/>
                <m:ctrlPr>
                  <w:rPr>
                    <w:rFonts w:ascii="Cambria Math" w:hAnsi="Cambria Math"/>
                  </w:rPr>
                </m:ctrlPr>
              </m:barPr>
              <m:e>
                <m:r>
                  <w:rPr>
                    <w:rFonts w:ascii="Cambria Math" w:hAnsi="Cambria Math"/>
                  </w:rPr>
                  <m:t>p</m:t>
                </m:r>
              </m:e>
            </m:bar>
            <m:bar>
              <m:barPr>
                <m:pos m:val="top"/>
                <m:ctrlPr>
                  <w:rPr>
                    <w:rFonts w:ascii="Cambria Math" w:hAnsi="Cambria Math"/>
                  </w:rPr>
                </m:ctrlPr>
              </m:barPr>
              <m:e>
                <m:r>
                  <w:rPr>
                    <w:rFonts w:ascii="Cambria Math" w:hAnsi="Cambria Math"/>
                  </w:rPr>
                  <m:t>q</m:t>
                </m:r>
              </m:e>
            </m:bar>
          </m:num>
          <m:den>
            <m:r>
              <w:rPr>
                <w:rFonts w:ascii="Cambria Math" w:hAnsi="Cambria Math"/>
              </w:rPr>
              <m:t>2</m:t>
            </m:r>
            <m:r>
              <w:rPr>
                <w:rFonts w:ascii="Cambria Math" w:hAnsi="Cambria Math"/>
              </w:rPr>
              <m:t>N</m:t>
            </m:r>
          </m:den>
        </m:f>
      </m:oMath>
      <w:r>
        <w:t xml:space="preserve">, where </w:t>
      </w:r>
      <m:oMath>
        <m:r>
          <w:rPr>
            <w:rFonts w:ascii="Cambria Math" w:hAnsi="Cambria Math"/>
          </w:rPr>
          <m:t>N</m:t>
        </m:r>
      </m:oMath>
      <w:r>
        <w:t xml:space="preserve"> is the population size (Charlesworth and Charlesworth 2010).</w:t>
      </w:r>
      <w:r>
        <w:t xml:space="preserve"> In the WZA, we </w:t>
      </w:r>
      <m:oMath>
        <m:bar>
          <m:barPr>
            <m:pos m:val="top"/>
            <m:ctrlPr>
              <w:rPr>
                <w:rFonts w:ascii="Cambria Math" w:hAnsi="Cambria Math"/>
              </w:rPr>
            </m:ctrlPr>
          </m:barPr>
          <m:e>
            <m:r>
              <w:rPr>
                <w:rFonts w:ascii="Cambria Math" w:hAnsi="Cambria Math"/>
              </w:rPr>
              <m:t>p</m:t>
            </m:r>
          </m:e>
        </m:bar>
        <m:bar>
          <m:barPr>
            <m:pos m:val="top"/>
            <m:ctrlPr>
              <w:rPr>
                <w:rFonts w:ascii="Cambria Math" w:hAnsi="Cambria Math"/>
              </w:rPr>
            </m:ctrlPr>
          </m:barPr>
          <m:e>
            <m:r>
              <w:rPr>
                <w:rFonts w:ascii="Cambria Math" w:hAnsi="Cambria Math"/>
              </w:rPr>
              <m:t>q</m:t>
            </m:r>
          </m:e>
        </m:bar>
      </m:oMath>
      <w:r>
        <w:t xml:space="preserve"> in place of the error variance in the weighted-Z test.</w:t>
      </w:r>
    </w:p>
    <w:p w14:paraId="6E45607D" w14:textId="0B3921F2" w:rsidR="000B456F" w:rsidRDefault="0032250D">
      <w:pPr>
        <w:pStyle w:val="FirstParagraph"/>
      </w:pPr>
      <w:r>
        <w:lastRenderedPageBreak/>
        <w:br/>
        <w:t>We combine information from the markers (typically SNPs) present in a focal genomic region into a single weighted-Z score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The genomic region in question could be a gene or </w:t>
      </w:r>
      <w:r>
        <w:t xml:space="preserve">genomic analysis window. We calculate </w:t>
      </w:r>
      <m:oMath>
        <m:sSub>
          <m:sSubPr>
            <m:ctrlPr>
              <w:rPr>
                <w:rFonts w:ascii="Cambria Math" w:hAnsi="Cambria Math"/>
              </w:rPr>
            </m:ctrlPr>
          </m:sSubPr>
          <m:e>
            <m:r>
              <w:rPr>
                <w:rFonts w:ascii="Cambria Math" w:hAnsi="Cambria Math"/>
              </w:rPr>
              <m:t>Z</m:t>
            </m:r>
          </m:e>
          <m:sub>
            <m:r>
              <w:rPr>
                <w:rFonts w:ascii="Cambria Math" w:hAnsi="Cambria Math"/>
              </w:rPr>
              <m:t>W</m:t>
            </m:r>
            <m:r>
              <w:rPr>
                <w:rFonts w:ascii="Cambria Math" w:hAnsi="Cambria Math"/>
              </w:rPr>
              <m:t>,</m:t>
            </m:r>
            <m:r>
              <w:rPr>
                <w:rFonts w:ascii="Cambria Math" w:hAnsi="Cambria Math"/>
              </w:rPr>
              <m:t>k</m:t>
            </m:r>
          </m:sub>
        </m:sSub>
      </m:oMath>
      <w:r>
        <w:t xml:space="preserve"> for genomic region </w:t>
      </w:r>
      <w:r>
        <w:rPr>
          <w:i/>
        </w:rPr>
        <w:t>k</w:t>
      </w:r>
      <w:r>
        <w:t xml:space="preserve">, which contains </w:t>
      </w:r>
      <w:r>
        <w:rPr>
          <w:i/>
        </w:rPr>
        <w:t>n</w:t>
      </w:r>
      <w:r>
        <w:t xml:space="preserve"> SNPs as</w:t>
      </w:r>
    </w:p>
    <w:p w14:paraId="76938C79" w14:textId="77777777" w:rsidR="000B456F" w:rsidRDefault="0032250D">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W</m:t>
              </m:r>
              <m:r>
                <w:rPr>
                  <w:rFonts w:ascii="Cambria Math" w:hAnsi="Cambria Math"/>
                </w:rPr>
                <m:t>,</m:t>
              </m:r>
              <m:r>
                <w:rPr>
                  <w:rFonts w:ascii="Cambria Math" w:hAnsi="Cambria Math"/>
                </w:rPr>
                <m:t>k</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bar>
                    <m:barPr>
                      <m:pos m:val="top"/>
                      <m:ctrlPr>
                        <w:rPr>
                          <w:rFonts w:ascii="Cambria Math" w:hAnsi="Cambria Math"/>
                        </w:rPr>
                      </m:ctrlPr>
                    </m:barPr>
                    <m:e>
                      <m:sSub>
                        <m:sSubPr>
                          <m:ctrlPr>
                            <w:rPr>
                              <w:rFonts w:ascii="Cambria Math" w:hAnsi="Cambria Math"/>
                            </w:rPr>
                          </m:ctrlPr>
                        </m:sSubPr>
                        <m:e>
                          <m:r>
                            <w:rPr>
                              <w:rFonts w:ascii="Cambria Math" w:hAnsi="Cambria Math"/>
                            </w:rPr>
                            <m:t>p</m:t>
                          </m:r>
                        </m:e>
                        <m:sub>
                          <m:r>
                            <w:rPr>
                              <w:rFonts w:ascii="Cambria Math" w:hAnsi="Cambria Math"/>
                            </w:rPr>
                            <m:t>i</m:t>
                          </m:r>
                        </m:sub>
                      </m:sSub>
                    </m:e>
                  </m:bar>
                </m:e>
              </m:nary>
              <m:bar>
                <m:barPr>
                  <m:pos m:val="top"/>
                  <m:ctrlPr>
                    <w:rPr>
                      <w:rFonts w:ascii="Cambria Math" w:hAnsi="Cambria Math"/>
                    </w:rPr>
                  </m:ctrlPr>
                </m:barPr>
                <m:e>
                  <m:sSub>
                    <m:sSubPr>
                      <m:ctrlPr>
                        <w:rPr>
                          <w:rFonts w:ascii="Cambria Math" w:hAnsi="Cambria Math"/>
                        </w:rPr>
                      </m:ctrlPr>
                    </m:sSubPr>
                    <m:e>
                      <m:r>
                        <w:rPr>
                          <w:rFonts w:ascii="Cambria Math" w:hAnsi="Cambria Math"/>
                        </w:rPr>
                        <m:t>q</m:t>
                      </m:r>
                    </m:e>
                    <m:sub>
                      <m:r>
                        <w:rPr>
                          <w:rFonts w:ascii="Cambria Math" w:hAnsi="Cambria Math"/>
                        </w:rPr>
                        <m:t>i</m:t>
                      </m:r>
                    </m:sub>
                  </m:sSub>
                </m:e>
              </m:bar>
              <m:sSub>
                <m:sSubPr>
                  <m:ctrlPr>
                    <w:rPr>
                      <w:rFonts w:ascii="Cambria Math" w:hAnsi="Cambria Math"/>
                    </w:rPr>
                  </m:ctrlPr>
                </m:sSubPr>
                <m:e>
                  <m:r>
                    <w:rPr>
                      <w:rFonts w:ascii="Cambria Math" w:hAnsi="Cambria Math"/>
                    </w:rPr>
                    <m:t>z</m:t>
                  </m:r>
                </m:e>
                <m:sub>
                  <m:r>
                    <w:rPr>
                      <w:rFonts w:ascii="Cambria Math" w:hAnsi="Cambria Math"/>
                    </w:rPr>
                    <m:t>i</m:t>
                  </m:r>
                </m:sub>
              </m:sSub>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bar>
                    <m:barPr>
                      <m:pos m:val="top"/>
                      <m:ctrlPr>
                        <w:rPr>
                          <w:rFonts w:ascii="Cambria Math" w:hAnsi="Cambria Math"/>
                        </w:rPr>
                      </m:ctrlPr>
                    </m:barPr>
                    <m:e>
                      <m:sSub>
                        <m:sSubPr>
                          <m:ctrlPr>
                            <w:rPr>
                              <w:rFonts w:ascii="Cambria Math" w:hAnsi="Cambria Math"/>
                            </w:rPr>
                          </m:ctrlPr>
                        </m:sSubPr>
                        <m:e>
                          <m:r>
                            <w:rPr>
                              <w:rFonts w:ascii="Cambria Math" w:hAnsi="Cambria Math"/>
                            </w:rPr>
                            <m:t>p</m:t>
                          </m:r>
                        </m:e>
                        <m:sub>
                          <m:r>
                            <w:rPr>
                              <w:rFonts w:ascii="Cambria Math" w:hAnsi="Cambria Math"/>
                            </w:rPr>
                            <m:t>i</m:t>
                          </m:r>
                        </m:sub>
                      </m:sSub>
                    </m:e>
                  </m:bar>
                  <m:bar>
                    <m:barPr>
                      <m:pos m:val="top"/>
                      <m:ctrlPr>
                        <w:rPr>
                          <w:rFonts w:ascii="Cambria Math" w:hAnsi="Cambria Math"/>
                        </w:rPr>
                      </m:ctrlPr>
                    </m:barPr>
                    <m:e>
                      <m:sSub>
                        <m:sSubPr>
                          <m:ctrlPr>
                            <w:rPr>
                              <w:rFonts w:ascii="Cambria Math" w:hAnsi="Cambria Math"/>
                            </w:rPr>
                          </m:ctrlPr>
                        </m:sSubPr>
                        <m:e>
                          <m:r>
                            <w:rPr>
                              <w:rFonts w:ascii="Cambria Math" w:hAnsi="Cambria Math"/>
                            </w:rPr>
                            <m:t>q</m:t>
                          </m:r>
                        </m:e>
                        <m:sub>
                          <m:r>
                            <w:rPr>
                              <w:rFonts w:ascii="Cambria Math" w:hAnsi="Cambria Math"/>
                            </w:rPr>
                            <m:t>i</m:t>
                          </m:r>
                        </m:sub>
                      </m:sSub>
                    </m:e>
                  </m:bar>
                  <m:sSup>
                    <m:sSupPr>
                      <m:ctrlPr>
                        <w:rPr>
                          <w:rFonts w:ascii="Cambria Math" w:hAnsi="Cambria Math"/>
                        </w:rPr>
                      </m:ctrlPr>
                    </m:sSupPr>
                    <m:e>
                      <m:r>
                        <w:rPr>
                          <w:rFonts w:ascii="Cambria Math" w:hAnsi="Cambria Math"/>
                        </w:rPr>
                        <m:t>)</m:t>
                      </m:r>
                    </m:e>
                    <m:sup>
                      <m:r>
                        <w:rPr>
                          <w:rFonts w:ascii="Cambria Math" w:hAnsi="Cambria Math"/>
                        </w:rPr>
                        <m:t>2</m:t>
                      </m:r>
                    </m:sup>
                  </m:sSup>
                </m:e>
              </m:rad>
            </m:den>
          </m:f>
          <m:r>
            <w:rPr>
              <w:rFonts w:ascii="Cambria Math" w:hAnsi="Cambria Math"/>
            </w:rPr>
            <m:t>,</m:t>
          </m:r>
        </m:oMath>
      </m:oMathPara>
    </w:p>
    <w:p w14:paraId="4AC7DF4C" w14:textId="77777777" w:rsidR="00276073" w:rsidRDefault="0032250D">
      <w:pPr>
        <w:pStyle w:val="FirstParagraph"/>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is the standard normal deviate calculated from the one-sided </w:t>
      </w:r>
      <w:r>
        <w:rPr>
          <w:i/>
        </w:rPr>
        <w:t>p</w:t>
      </w:r>
      <w:r>
        <w:t xml:space="preserve">-value for SNP </w:t>
      </w:r>
      <w:r>
        <w:rPr>
          <w:i/>
        </w:rPr>
        <w:t>i</w:t>
      </w:r>
      <w:r>
        <w:t>.</w:t>
      </w:r>
      <w:r>
        <w:br/>
        <w:t>A feature of the WZA is tha</w:t>
      </w:r>
      <w:r>
        <w:t>t many statistics can potentially be used as input as long as individual SNPs provide a measure for the strength of evidence against a null hypothesis.</w:t>
      </w:r>
      <w:r>
        <w:br/>
        <w:t>Under the null hypothesis that there is no correlation between allele frequency and environment, the exp</w:t>
      </w:r>
      <w:r>
        <w:t xml:space="preserve">ected distribution of correlation coefficients in a GEA would be normal about 0, with a uniform distribution of </w:t>
      </w:r>
      <w:r>
        <w:rPr>
          <w:i/>
        </w:rPr>
        <w:t>p</w:t>
      </w:r>
      <w:r>
        <w:t>-values. However, as will often be the case in nature, there may be an underlying correlation between population structure and environmental he</w:t>
      </w:r>
      <w:r>
        <w:t>terogeneity that will cause these genome-wide distributions to deviate from this null expectation. The average effect of population structure on individual SNP scores can be incorporated into an analysis by converting an individual SNP’s correlation coeffi</w:t>
      </w:r>
      <w:r>
        <w:t xml:space="preserve">cient or parametric </w:t>
      </w:r>
      <w:r>
        <w:rPr>
          <w:i/>
        </w:rPr>
        <w:t>p</w:t>
      </w:r>
      <w:r>
        <w:t xml:space="preserve">-value into empirical </w:t>
      </w:r>
      <w:r>
        <w:rPr>
          <w:i/>
        </w:rPr>
        <w:t>p</w:t>
      </w:r>
      <w:r>
        <w:t xml:space="preserve">-values based on the genome-wide distribution. With this procedure, we lose some ability to ascribe significance to particular regions, but aggregating the empirical </w:t>
      </w:r>
      <w:r>
        <w:rPr>
          <w:i/>
        </w:rPr>
        <w:t>p</w:t>
      </w:r>
      <w:r>
        <w:t>-values using the WZA may identify genomic re</w:t>
      </w:r>
      <w:r>
        <w:t xml:space="preserve">gions with a pattern of GEA statistics that deviate from the average genome-wide. In empirical studies, it may be preferable to use the parametric </w:t>
      </w:r>
      <w:r>
        <w:rPr>
          <w:i/>
        </w:rPr>
        <w:t>p</w:t>
      </w:r>
      <w:r>
        <w:t>-values rather than the correlation coefficients themselves as there may be varying power to calculate corre</w:t>
      </w:r>
      <w:r>
        <w:t xml:space="preserve">lations across the genome, </w:t>
      </w:r>
      <w:proofErr w:type="gramStart"/>
      <w:r>
        <w:t>e.g.</w:t>
      </w:r>
      <w:proofErr w:type="gramEnd"/>
      <w:r>
        <w:t xml:space="preserve"> due to varying levels of missing data.</w:t>
      </w:r>
    </w:p>
    <w:p w14:paraId="158101E9" w14:textId="5D9C286E" w:rsidR="000B456F" w:rsidRDefault="0032250D">
      <w:pPr>
        <w:pStyle w:val="FirstParagraph"/>
      </w:pPr>
      <w:r>
        <w:br/>
        <w:t xml:space="preserve">When we apply the WZA in this study, we used two different statistics as input. The first was empirical </w:t>
      </w:r>
      <w:r>
        <w:rPr>
          <w:i/>
        </w:rPr>
        <w:t>p</w:t>
      </w:r>
      <w:r>
        <w:t xml:space="preserve">-values calculated from the genome-wide distribution of parametric </w:t>
      </w:r>
      <w:r>
        <w:rPr>
          <w:i/>
        </w:rPr>
        <w:t>p</w:t>
      </w:r>
      <w:r>
        <w:t>-values from</w:t>
      </w:r>
      <w:r>
        <w:t xml:space="preserve"> Kendall’s </w:t>
      </w:r>
      <m:oMath>
        <m:r>
          <w:rPr>
            <w:rFonts w:ascii="Cambria Math" w:hAnsi="Cambria Math"/>
          </w:rPr>
          <m:t>τ</m:t>
        </m:r>
      </m:oMath>
      <w:r>
        <w:t xml:space="preserve">. The second is empirical </w:t>
      </w:r>
      <w:r>
        <w:rPr>
          <w:i/>
        </w:rPr>
        <w:t>p</w:t>
      </w:r>
      <w:r>
        <w:t xml:space="preserve">-values calculated from the genome-wide distribution of Bayes factors as obtained using the </w:t>
      </w:r>
      <w:r>
        <w:rPr>
          <w:i/>
        </w:rPr>
        <w:t>BayPass</w:t>
      </w:r>
      <w:r>
        <w:t xml:space="preserve"> program (see below).</w:t>
      </w:r>
    </w:p>
    <w:p w14:paraId="1132F62E" w14:textId="77777777" w:rsidR="000B456F" w:rsidRDefault="0032250D">
      <w:pPr>
        <w:pStyle w:val="Heading1"/>
      </w:pPr>
      <w:bookmarkStart w:id="2" w:name="sec:materials:methods"/>
      <w:r>
        <w:t>Materials and Methods</w:t>
      </w:r>
      <w:bookmarkEnd w:id="2"/>
    </w:p>
    <w:p w14:paraId="6B1AEE77" w14:textId="77777777" w:rsidR="000B456F" w:rsidRDefault="0032250D">
      <w:pPr>
        <w:pStyle w:val="Heading2"/>
      </w:pPr>
      <w:bookmarkStart w:id="3" w:name="simulating-local-adaptation"/>
      <w:r>
        <w:rPr>
          <w:u w:val="single"/>
        </w:rPr>
        <w:t>Simulating local adaptation</w:t>
      </w:r>
      <w:bookmarkEnd w:id="3"/>
    </w:p>
    <w:p w14:paraId="35F551A5" w14:textId="77777777" w:rsidR="00276073" w:rsidRDefault="0032250D">
      <w:pPr>
        <w:pStyle w:val="FirstParagraph"/>
      </w:pPr>
      <w:r>
        <w:t>We performed forward-in-time population genetic simulations of local adaptation to determine how well the WZA was able to identify the genetic basis of local adaptation. GEA studies are often performed on large spatially extended populations that may be co</w:t>
      </w:r>
      <w:r>
        <w:t>mprised of hundreds of thousands of individuals. However, it is computationally infeasible to model selection and linkage in long chromosomal segments (&gt;1Mbp) for such large populations. For that reason, we simulated relatively small populations containing</w:t>
      </w:r>
      <w:r>
        <w:t xml:space="preserve"> 19,600 diploid individuals in total and scaled population genetic parameters so as to model a large population. We based our choice of population genetic parameters on estimates for conifer </w:t>
      </w:r>
      <w:r>
        <w:lastRenderedPageBreak/>
        <w:t xml:space="preserve">species. A representative set of parameters is given in Table </w:t>
      </w:r>
      <w:hyperlink w:anchor="tab:SimulationParameters">
        <w:r>
          <w:rPr>
            <w:rStyle w:val="Hyperlink"/>
          </w:rPr>
          <w:t>[tab:SimulationParameters]</w:t>
        </w:r>
      </w:hyperlink>
      <w:r>
        <w:t xml:space="preserve"> and in the Appendix we give a breakdown and justification of the parameters we simulated. All simulations were performed in </w:t>
      </w:r>
      <w:proofErr w:type="spellStart"/>
      <w:r>
        <w:t>SLiM</w:t>
      </w:r>
      <w:proofErr w:type="spellEnd"/>
      <w:r>
        <w:t xml:space="preserve"> v3.4 (</w:t>
      </w:r>
      <w:r>
        <w:rPr>
          <w:b/>
        </w:rPr>
        <w:t>???</w:t>
      </w:r>
      <w:r>
        <w:t>).</w:t>
      </w:r>
    </w:p>
    <w:p w14:paraId="7471914F" w14:textId="77777777" w:rsidR="00276073" w:rsidRDefault="0032250D">
      <w:pPr>
        <w:pStyle w:val="FirstParagraph"/>
      </w:pPr>
      <w:r>
        <w:br/>
        <w:t>Individuals inhabited a 2-dimensional steppi</w:t>
      </w:r>
      <w:r>
        <w:t>ng-stone population made up of 196 demes (</w:t>
      </w:r>
      <w:proofErr w:type="gramStart"/>
      <w:r>
        <w:t>i.e.</w:t>
      </w:r>
      <w:proofErr w:type="gramEnd"/>
      <w:r>
        <w:t xml:space="preserve"> a </w:t>
      </w:r>
      <m:oMath>
        <m:r>
          <w:rPr>
            <w:rFonts w:ascii="Cambria Math" w:hAnsi="Cambria Math"/>
          </w:rPr>
          <m:t>14×14</m:t>
        </m:r>
      </m:oMath>
      <w:r>
        <w:t xml:space="preserve"> grid). Each deme consisted of </w:t>
      </w:r>
      <m:oMath>
        <m:sSub>
          <m:sSubPr>
            <m:ctrlPr>
              <w:rPr>
                <w:rFonts w:ascii="Cambria Math" w:hAnsi="Cambria Math"/>
              </w:rPr>
            </m:ctrlPr>
          </m:sSubPr>
          <m:e>
            <m:r>
              <w:rPr>
                <w:rFonts w:ascii="Cambria Math" w:hAnsi="Cambria Math"/>
              </w:rPr>
              <m:t>N</m:t>
            </m:r>
          </m:e>
          <m:sub>
            <m:r>
              <w:rPr>
                <w:rFonts w:ascii="Cambria Math" w:hAnsi="Cambria Math"/>
              </w:rPr>
              <m:t>d</m:t>
            </m:r>
          </m:sub>
        </m:sSub>
      </m:oMath>
      <w:r>
        <w:t xml:space="preserve"> = 100 diploid individuals. We assumed a Wright-Fisher model so demes did not fluctuate in size over time. Migration was limited to neighbouring demes in the cardinal </w:t>
      </w:r>
      <w:r>
        <w:t>directions and the migration rate (</w:t>
      </w:r>
      <m:oMath>
        <m:r>
          <w:rPr>
            <w:rFonts w:ascii="Cambria Math" w:hAnsi="Cambria Math"/>
          </w:rPr>
          <m:t>m</m:t>
        </m:r>
      </m:oMath>
      <w:r>
        <w:t xml:space="preserve">) was set to </w:t>
      </w:r>
      <m:oMath>
        <m:r>
          <w:rPr>
            <w:rFonts w:ascii="Cambria Math" w:hAnsi="Cambria Math"/>
          </w:rPr>
          <m:t>m</m:t>
        </m:r>
        <m:r>
          <w:rPr>
            <w:rFonts w:ascii="Cambria Math" w:hAnsi="Cambria Math"/>
          </w:rPr>
          <m:t>=</m:t>
        </m:r>
        <m:f>
          <m:fPr>
            <m:ctrlPr>
              <w:rPr>
                <w:rFonts w:ascii="Cambria Math" w:hAnsi="Cambria Math"/>
              </w:rPr>
            </m:ctrlPr>
          </m:fPr>
          <m:num>
            <m:r>
              <w:rPr>
                <w:rFonts w:ascii="Cambria Math" w:hAnsi="Cambria Math"/>
              </w:rPr>
              <m:t>7.5</m:t>
            </m:r>
          </m:num>
          <m:den>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den>
        </m:f>
      </m:oMath>
      <w:r>
        <w:t xml:space="preserve"> in each possible direction to achieve an overall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for the metapopulation of around 0.04 (Figure </w:t>
      </w:r>
      <w:hyperlink w:anchor="fig:summaryStats">
        <w:r>
          <w:rPr>
            <w:rStyle w:val="Hyperlink"/>
          </w:rPr>
          <w:t>3</w:t>
        </w:r>
      </w:hyperlink>
      <w:r>
        <w:t>). Additionally, we simulated metapopulations with n</w:t>
      </w:r>
      <w:r>
        <w:t xml:space="preserve">o spatial structure (i.e. finite deme island models). In these simulations, we used the formula </w:t>
      </w:r>
      <m:oMath>
        <m:r>
          <w:rPr>
            <w:rFonts w:ascii="Cambria Math" w:hAnsi="Cambria Math"/>
          </w:rPr>
          <m:t>m</m:t>
        </m:r>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T</m:t>
                </m:r>
              </m:den>
            </m:f>
            <m:r>
              <w:rPr>
                <w:rFonts w:ascii="Cambria Math" w:hAnsi="Cambria Math"/>
              </w:rPr>
              <m:t>-</m:t>
            </m:r>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Cambria Math"/>
              </w:rPr>
              <m:t>196</m:t>
            </m:r>
          </m:den>
        </m:f>
      </m:oMath>
      <w:r>
        <w:t xml:space="preserve"> (Charlesworth and Charlesworth (2010) (2010) pp319) to achieve a target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of 0.03.</w:t>
      </w:r>
    </w:p>
    <w:p w14:paraId="15FA94A3" w14:textId="77777777" w:rsidR="00276073" w:rsidRDefault="0032250D">
      <w:pPr>
        <w:pStyle w:val="FirstParagraph"/>
      </w:pPr>
      <w:r>
        <w:br/>
        <w:t>The simulated organism had a genome containing 1,00</w:t>
      </w:r>
      <w:r>
        <w:t xml:space="preserve">0 genes uniformly distributed onto 5 chromosomes. We simulated a chromosome structure in SLiM by including nucleotides that recombined at </w:t>
      </w:r>
      <w:r>
        <w:rPr>
          <w:i/>
        </w:rPr>
        <w:t>r</w:t>
      </w:r>
      <w:r>
        <w:t xml:space="preserve"> = 0.5 at the hypothetical chromosome boundaries. Each chromosome contained 200 10,000bp long segments. We refer to t</w:t>
      </w:r>
      <w:r>
        <w:t xml:space="preserve">hese segments as genes for brevity, although we did not model an explicit exon/intron or codon structure. Recombination within genes was uniform and occurred at a rate of </w:t>
      </w:r>
      <m:oMath>
        <m:r>
          <w:rPr>
            <w:rFonts w:ascii="Cambria Math" w:hAnsi="Cambria Math"/>
          </w:rPr>
          <m:t>r</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t>, giving a population-scaled recombination rate (</w:t>
      </w:r>
      <m:oMath>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Cambria Math"/>
          </w:rPr>
          <m:t>r</m:t>
        </m:r>
      </m:oMath>
      <w:r>
        <w:t>) of 0.0004. The final</w:t>
      </w:r>
      <w:r>
        <w:t xml:space="preserve"> base-pair in each gene recombined at a rate of 0.005, effectively modelling a stretch of 50,000bp of intergenic sequence.</w:t>
      </w:r>
    </w:p>
    <w:p w14:paraId="2615DB1B" w14:textId="77777777" w:rsidR="00276073" w:rsidRDefault="0032250D">
      <w:pPr>
        <w:pStyle w:val="FirstParagraph"/>
      </w:pPr>
      <w:r>
        <w:br/>
        <w:t>In nature, species may inhabit large spatial ranges and environmental variation may shape selection pressures. Obviously environmenta</w:t>
      </w:r>
      <w:r>
        <w:t>l variation is autocorrelated in space, so when modelling local adaptation to variable environments incorporating realistic spatial autocorrelation may be important. We incorporated spatial heterogeneity in the environment into our simulations using a disc</w:t>
      </w:r>
      <w:r>
        <w:t>retised map of degree days below 0 (DD0) across British Columbia (BC). We generated the discretised DD0 map by first downloading the map of DD0 for BC from ClimateBC (http://climatebc.ca/; (Wang et al. 2016); Figure 1A). Using Dog Mountain, BC as the refer</w:t>
      </w:r>
      <w:r>
        <w:t xml:space="preserve">ence point in the South-West corner (Latitude = 48.37, Longitude = -122.97), we extracted data in a rectangular grid with edges 3.6 degrees long in terms of both latitude and longitude, an area of approximately </w:t>
      </w:r>
      <m:oMath>
        <m:r>
          <w:rPr>
            <w:rFonts w:ascii="Cambria Math" w:hAnsi="Cambria Math"/>
          </w:rPr>
          <m:t>266×400</m:t>
        </m:r>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(Figure 1A). We divided this map</w:t>
      </w:r>
      <w:r>
        <w:t xml:space="preserve"> into a </w:t>
      </w:r>
      <m:oMath>
        <m:r>
          <w:rPr>
            <w:rFonts w:ascii="Cambria Math" w:hAnsi="Cambria Math"/>
          </w:rPr>
          <m:t>14×14</m:t>
        </m:r>
      </m:oMath>
      <w:r>
        <w:t xml:space="preserve"> grid, calculated the mean DD0 scores in each grid cell, converted them into standard normal deviates (i.e. Z-scores) and rounded up to the nearest third. We used the number of thirds of a Z-score as phenotypic optima in our simulations. We re</w:t>
      </w:r>
      <w:r>
        <w:t xml:space="preserve">fer to this map of phenotypic optima as the </w:t>
      </w:r>
      <w:r>
        <w:rPr>
          <w:i/>
        </w:rPr>
        <w:t>BC</w:t>
      </w:r>
      <w:r>
        <w:t xml:space="preserve"> map (Figure </w:t>
      </w:r>
      <w:hyperlink w:anchor="fig:sampleMaps">
        <w:r>
          <w:rPr>
            <w:rStyle w:val="Hyperlink"/>
          </w:rPr>
          <w:t>9</w:t>
        </w:r>
      </w:hyperlink>
      <w:r>
        <w:t>B).</w:t>
      </w:r>
      <w:r>
        <w:br/>
        <w:t xml:space="preserve">We used data from the </w:t>
      </w:r>
      <w:r>
        <w:rPr>
          <w:i/>
        </w:rPr>
        <w:t>BC</w:t>
      </w:r>
      <w:r>
        <w:t xml:space="preserve"> map to generate two additional maps of environmental heterogeneity. First, we ordered the data from the </w:t>
      </w:r>
      <w:r>
        <w:rPr>
          <w:i/>
        </w:rPr>
        <w:t>BC</w:t>
      </w:r>
      <w:r>
        <w:t xml:space="preserve"> map along one axis of t</w:t>
      </w:r>
      <w:r>
        <w:t xml:space="preserve">he </w:t>
      </w:r>
      <m:oMath>
        <m:r>
          <w:rPr>
            <w:rFonts w:ascii="Cambria Math" w:hAnsi="Cambria Math"/>
          </w:rPr>
          <m:t>14×14</m:t>
        </m:r>
      </m:oMath>
      <w:r>
        <w:t xml:space="preserve"> grid and randomised optima along the non-ordered axis. We refer to this re-ordered map as the </w:t>
      </w:r>
      <w:r>
        <w:rPr>
          <w:i/>
        </w:rPr>
        <w:t>Gradient</w:t>
      </w:r>
      <w:r>
        <w:t xml:space="preserve"> map (Figure 1C). Both the </w:t>
      </w:r>
      <w:r>
        <w:rPr>
          <w:i/>
        </w:rPr>
        <w:t>BC</w:t>
      </w:r>
      <w:r>
        <w:t xml:space="preserve"> map and the </w:t>
      </w:r>
      <w:r>
        <w:rPr>
          <w:i/>
        </w:rPr>
        <w:t>Gradient</w:t>
      </w:r>
      <w:r>
        <w:t xml:space="preserve"> map have a normally distributed range of phenotypic optima but for some species selection may </w:t>
      </w:r>
      <w:r>
        <w:t xml:space="preserve">only apply beyond a certain environmental threshold, leading to a non-normal distribution of </w:t>
      </w:r>
      <w:r>
        <w:lastRenderedPageBreak/>
        <w:t>phenotypic optima. To model such a situation, we set the phenotypic optimum of 20 demes in the top-right corner of the meta-population to +3 and set the optimum fo</w:t>
      </w:r>
      <w:r>
        <w:t xml:space="preserve">r all other populations to -1. We chose 20 demes as it represented 10.2% of the total population. We refer to this map as the </w:t>
      </w:r>
      <w:r>
        <w:rPr>
          <w:i/>
        </w:rPr>
        <w:t>Truncated</w:t>
      </w:r>
      <w:r>
        <w:t xml:space="preserve"> map (Figure 1D).</w:t>
      </w:r>
    </w:p>
    <w:p w14:paraId="033B4E6F" w14:textId="4924DBEC" w:rsidR="000B456F" w:rsidRDefault="0032250D">
      <w:pPr>
        <w:pStyle w:val="FirstParagraph"/>
      </w:pPr>
      <w:r>
        <w:br/>
        <w:t xml:space="preserve">We simulated local adaptation using either a </w:t>
      </w:r>
      <w:proofErr w:type="gramStart"/>
      <w:r>
        <w:t>models</w:t>
      </w:r>
      <w:proofErr w:type="gramEnd"/>
      <w:r>
        <w:t xml:space="preserve"> directional or stabilising selection. In both cases</w:t>
      </w:r>
      <w:r>
        <w:t xml:space="preserve">, there were 12 genes distributed evenly across four of simulated chromosomes that potentially contributed to local adaptation. When assuming directional selection, fitness affecting mutations could only occur at a single nucleotide position in the centre </w:t>
      </w:r>
      <w:r>
        <w:t xml:space="preserve">of the 12 potentially selected genes. Directionally selected mutations had a spatially antagonistic effect on fitness. In deme </w:t>
      </w:r>
      <w:r>
        <w:rPr>
          <w:i/>
        </w:rPr>
        <w:t>d</w:t>
      </w:r>
      <w:r>
        <w:t xml:space="preserve"> with phenotypic optimum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the fitness of a selected allele was calculated as </w:t>
      </w: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for an individual homozygous for a </w:t>
      </w:r>
      <w:r>
        <w:t xml:space="preserve">locally beneficial allele (selected alleles were semi-dominant). The directional selection simulations had a mutation rate of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t xml:space="preserve"> and a fixed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 0.003 (see </w:t>
      </w:r>
      <w:r>
        <w:rPr>
          <w:i/>
        </w:rPr>
        <w:t>Appendix</w:t>
      </w:r>
      <w:r>
        <w:t>).</w:t>
      </w:r>
      <w:r>
        <w:br/>
        <w:t>When assuming stabilising selection, the phenotypic effects of mutations that occurr</w:t>
      </w:r>
      <w:r>
        <w:t xml:space="preserve">ed in the 12 genes had a normal distribution of phenotypic effects, with variance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=0.5</m:t>
        </m:r>
      </m:oMath>
      <w:r>
        <w:t xml:space="preserve">. Phenotype affecting mutations occurred at a rate of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10</m:t>
            </m:r>
          </m:sup>
        </m:sSup>
      </m:oMath>
      <w:r>
        <w:t xml:space="preserve"> per base-pair in the 12 genes. An individual’s phenotype was calculated as the the sum of the effects of </w:t>
      </w:r>
      <w:r>
        <w:t>all phenotype affecting mutations. We calculated an individual’s fitness using the standard expression for Gaussian stabilising selection,</w:t>
      </w:r>
    </w:p>
    <w:p w14:paraId="153CADE7" w14:textId="77777777" w:rsidR="000B456F" w:rsidRDefault="0032250D">
      <w:pPr>
        <w:pStyle w:val="BodyText"/>
      </w:pPr>
      <w:r>
        <w:t>$$\notag W[z_{i,j} = exp \Big[\frac{-(f_{i,j} - \theta_d)^2}{2V_s}\Big],$$</w:t>
      </w:r>
    </w:p>
    <w:p w14:paraId="5E925355" w14:textId="77777777" w:rsidR="00276073" w:rsidRDefault="0032250D">
      <w:pPr>
        <w:pStyle w:val="FirstParagraph"/>
      </w:pPr>
      <w:r>
        <w:t xml:space="preserve">where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the phenotype of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i</w:t>
      </w:r>
      <w:r>
        <w:t xml:space="preserve">ndividual in environment </w:t>
      </w:r>
      <m:oMath>
        <m:r>
          <w:rPr>
            <w:rFonts w:ascii="Cambria Math" w:hAnsi="Cambria Math"/>
          </w:rPr>
          <m:t>j</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is the variance of the Gaussian fitness function (Walsh and Lynch 2018). We set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=196</m:t>
        </m:r>
      </m:oMath>
      <w:r>
        <w:t xml:space="preserve"> </w:t>
      </w:r>
      <w:r>
        <w:t>so that there was a 40% fitness difference between individuals perfectly adapted to the two extremes of the distribution of phenotypic optima. This was motivated by empirical studies of local adaptation that have demonstrated such fitness differences in nu</w:t>
      </w:r>
      <w:r>
        <w:t xml:space="preserve">merous species (Hereford 2009; Bontrager et al. 2020), see </w:t>
      </w:r>
      <w:r>
        <w:rPr>
          <w:i/>
        </w:rPr>
        <w:t>Appendix</w:t>
      </w:r>
      <w:r>
        <w:t>.</w:t>
      </w:r>
    </w:p>
    <w:p w14:paraId="53E82586" w14:textId="2F8363A4" w:rsidR="000B456F" w:rsidRDefault="0032250D">
      <w:pPr>
        <w:pStyle w:val="FirstParagraph"/>
      </w:pPr>
      <w:r>
        <w:br/>
        <w:t>We ran simulations for a total of 200,102 generations. The 19,600 individuals initially inhabited a panmictic population that evolved neutrally. After 100 generations, the panmictic popul</w:t>
      </w:r>
      <w:r>
        <w:t xml:space="preserve">ation divided into a </w:t>
      </w:r>
      <m:oMath>
        <m:r>
          <w:rPr>
            <w:rFonts w:ascii="Cambria Math" w:hAnsi="Cambria Math"/>
          </w:rPr>
          <m:t>14×14</m:t>
        </m:r>
      </m:oMath>
      <w:r>
        <w:t xml:space="preserve"> stepping-stone population and evolved strictly neutrally when modelling directional selection), or with a phenotypic optimum of 0 for all demes (when modelling stabilising selection). After 180,000 generations, we imposed the var</w:t>
      </w:r>
      <w:r>
        <w:t>ious maps of phenotypic optima and simulated for further 20,000 generations. For selected mutations, we used the "</w:t>
      </w:r>
      <w:r>
        <w:rPr>
          <w:i/>
        </w:rPr>
        <w:t>f</w:t>
      </w:r>
      <w:r>
        <w:t>" option for SLiM’s mutation stack policy, so only the first mutational change was retained. Using the tree-sequence option in SLiM (Haller e</w:t>
      </w:r>
      <w:r>
        <w:t xml:space="preserve">t al. 2019) we tracked the coalescent history of each individual in the population. At the end of each simulations, neutral mutations were added at a rate of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oMath>
      <w:r>
        <w:t xml:space="preserve"> using PySLiM (</w:t>
      </w:r>
      <w:hyperlink r:id="rId7">
        <w:r>
          <w:rPr>
            <w:rStyle w:val="Hyperlink"/>
          </w:rPr>
          <w:t>https://pyslim.read</w:t>
        </w:r>
        <w:r>
          <w:rPr>
            <w:rStyle w:val="Hyperlink"/>
          </w:rPr>
          <w:t>thedocs.io/en/latest/</w:t>
        </w:r>
      </w:hyperlink>
      <w:r>
        <w:t>). For each combination of map and mode of selection, we performed 20 replicate simulations.</w:t>
      </w:r>
      <w:r>
        <w:br/>
      </w:r>
    </w:p>
    <w:p w14:paraId="3C56FC94" w14:textId="77777777" w:rsidR="000B456F" w:rsidRDefault="0032250D">
      <w:pPr>
        <w:pStyle w:val="Heading2"/>
      </w:pPr>
      <w:bookmarkStart w:id="4" w:name="classifying-genes-as-locally-adapted"/>
      <w:r>
        <w:lastRenderedPageBreak/>
        <w:t>Classifying genes as locally adapted</w:t>
      </w:r>
      <w:bookmarkEnd w:id="4"/>
    </w:p>
    <w:p w14:paraId="184C89D1" w14:textId="77777777" w:rsidR="00276073" w:rsidRDefault="0032250D">
      <w:pPr>
        <w:pStyle w:val="FirstParagraph"/>
      </w:pPr>
      <w:r>
        <w:t xml:space="preserve">To evaluate the performance of different GEA methods, we needed to know which genes contribute to </w:t>
      </w:r>
      <w:r>
        <w:t>local adaptation and which do not in our simulated data. As described above, our simulations incorporated a stochastic mutation model so from replicate to replicate the genes that contributed to local adaptation varied and, in the case of stabilising selec</w:t>
      </w:r>
      <w:r>
        <w:t>tion, so did the effect size of the alleles in those genes. For a genetic variant to be considered locally adaptive, there needs to be a positive covariance between the extent by which it affects fitness and phenotypic optima across space. We thus measured</w:t>
      </w:r>
      <w:r>
        <w:t xml:space="preserve"> the covariance between the fitness or phenotypic effects of alleles present in a gene (a function of allele frequency and effect size) and environmental heterogeneity.</w:t>
      </w:r>
    </w:p>
    <w:p w14:paraId="4ECCC653" w14:textId="77777777" w:rsidR="00276073" w:rsidRDefault="0032250D">
      <w:pPr>
        <w:pStyle w:val="FirstParagraph"/>
      </w:pPr>
      <w:r>
        <w:br/>
        <w:t>For simulations assuming directional selection, we calculated the covariance between th</w:t>
      </w:r>
      <w:r>
        <w:t xml:space="preserve">e fitness contributed by a particular gene and environmental heterogeneity. For each of the 12 genes that could potentially contribute to local adaptation in our simulations there were </w:t>
      </w:r>
      <m:oMath>
        <m:r>
          <w:rPr>
            <w:rFonts w:ascii="Cambria Math" w:hAnsi="Cambria Math"/>
          </w:rPr>
          <m:t>k</m:t>
        </m:r>
      </m:oMath>
      <w:r>
        <w:t xml:space="preserve"> causal SNPs. There were </w:t>
      </w:r>
      <m:oMath>
        <m:r>
          <w:rPr>
            <w:rFonts w:ascii="Cambria Math" w:hAnsi="Cambria Math"/>
          </w:rPr>
          <m:t>n</m:t>
        </m:r>
      </m:oMath>
      <w:r>
        <w:t xml:space="preserve"> diploid individuals in deme </w:t>
      </w:r>
      <m:oMath>
        <m:r>
          <w:rPr>
            <w:rFonts w:ascii="Cambria Math" w:hAnsi="Cambria Math"/>
          </w:rPr>
          <m:t>d</m:t>
        </m:r>
      </m:oMath>
      <w:r>
        <w:t>, so for ea</w:t>
      </w:r>
      <w:r>
        <w:t xml:space="preserve">ch deme we have $\mbox{\boldmath{$M_{g,d}$}}$, an </w:t>
      </w:r>
      <m:oMath>
        <m:r>
          <w:rPr>
            <w:rFonts w:ascii="Cambria Math" w:hAnsi="Cambria Math"/>
          </w:rPr>
          <m:t>n</m:t>
        </m:r>
        <m:r>
          <w:rPr>
            <w:rFonts w:ascii="Cambria Math" w:hAnsi="Cambria Math"/>
          </w:rPr>
          <m:t>×</m:t>
        </m:r>
        <m:r>
          <w:rPr>
            <w:rFonts w:ascii="Cambria Math" w:hAnsi="Cambria Math"/>
          </w:rPr>
          <m:t>k</m:t>
        </m:r>
      </m:oMath>
      <w:r>
        <w:t xml:space="preserve"> matrix. The genotype of each individual at each causal SNP was coded as 0, 0.5 or 1 corresponding to aa, aA and AA genotypes, respectively. Under directional selection, each gene that could contribute</w:t>
      </w:r>
      <w:r>
        <w:t xml:space="preserve"> to phenotypic variation had at most a single causal SNP (</w:t>
      </w:r>
      <m:oMath>
        <m:r>
          <w:rPr>
            <w:rFonts w:ascii="Cambria Math" w:hAnsi="Cambria Math"/>
          </w:rPr>
          <m:t>k</m:t>
        </m:r>
        <m:r>
          <w:rPr>
            <w:rFonts w:ascii="Cambria Math" w:hAnsi="Cambria Math"/>
          </w:rPr>
          <m:t>=1</m:t>
        </m:r>
      </m:oMath>
      <w:r>
        <w:t xml:space="preserve">) with a selective effect of </w:t>
      </w:r>
      <m:oMath>
        <m:sSub>
          <m:sSubPr>
            <m:ctrlPr>
              <w:rPr>
                <w:rFonts w:ascii="Cambria Math" w:hAnsi="Cambria Math"/>
              </w:rPr>
            </m:ctrlPr>
          </m:sSubPr>
          <m:e>
            <m:r>
              <w:rPr>
                <w:rFonts w:ascii="Cambria Math" w:hAnsi="Cambria Math"/>
              </w:rPr>
              <m:t>θ</m:t>
            </m:r>
          </m:e>
          <m:sub>
            <m:r>
              <w:rPr>
                <w:rFonts w:ascii="Cambria Math" w:hAnsi="Cambria Math"/>
              </w:rPr>
              <m:t>d</m:t>
            </m:r>
          </m:sub>
        </m:sSub>
        <m:sSub>
          <m:sSubPr>
            <m:ctrlPr>
              <w:rPr>
                <w:rFonts w:ascii="Cambria Math" w:hAnsi="Cambria Math"/>
              </w:rPr>
            </m:ctrlPr>
          </m:sSubPr>
          <m:e>
            <m:r>
              <w:rPr>
                <w:rFonts w:ascii="Cambria Math" w:hAnsi="Cambria Math"/>
              </w:rPr>
              <m:t>s</m:t>
            </m:r>
          </m:e>
          <m:sub>
            <m:r>
              <w:rPr>
                <w:rFonts w:ascii="Cambria Math" w:hAnsi="Cambria Math"/>
              </w:rPr>
              <m:t>a</m:t>
            </m:r>
          </m:sub>
        </m:sSub>
      </m:oMath>
      <w:r>
        <w:t>. For each gene we calculated the covariance between $\mbox{\boldmath{$M_{g,d}$}}\theta_ds_a$ and environmental heterogeneity. We defined locally adaptive ge</w:t>
      </w:r>
      <w:r>
        <w:t>nes as those with a covariance between fitness and environment greater than 0.005.</w:t>
      </w:r>
    </w:p>
    <w:p w14:paraId="702496D3" w14:textId="4B4FC887" w:rsidR="000B456F" w:rsidRDefault="0032250D">
      <w:pPr>
        <w:pStyle w:val="FirstParagraph"/>
      </w:pPr>
      <w:r>
        <w:br/>
        <w:t>For simulations assuming stabilising selection, we calculated the covariance between the phenotypic contribution of a gene in a particular deme and the environment. We use $</w:t>
      </w:r>
      <w:r>
        <w:t xml:space="preserve">\mbox{\boldmath{$\nu_g$}}$ to refer to the vector of phenotypic effects for each of the </w:t>
      </w:r>
      <m:oMath>
        <m:r>
          <w:rPr>
            <w:rFonts w:ascii="Cambria Math" w:hAnsi="Cambria Math"/>
          </w:rPr>
          <m:t>k</m:t>
        </m:r>
      </m:oMath>
      <w:r>
        <w:t xml:space="preserve"> causal SNPs in gene </w:t>
      </w:r>
      <m:oMath>
        <m:r>
          <w:rPr>
            <w:rFonts w:ascii="Cambria Math" w:hAnsi="Cambria Math"/>
          </w:rPr>
          <m:t>g</m:t>
        </m:r>
      </m:oMath>
      <w:r>
        <w:t>. The mean contribution that a gene makes to the phenotype in a particular deme is calculated as $P_{g,d} = \frac{1}{k}\sum \mbox{\boldmath{$M_</w:t>
      </w:r>
      <w:r>
        <w:t xml:space="preserve">{g,d} \nu_{g,d}$}}$. We took the covariance between </w:t>
      </w:r>
      <m:oMath>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d</m:t>
            </m:r>
          </m:sub>
        </m:sSub>
      </m:oMath>
      <w:r>
        <w:t xml:space="preserve"> and phenotypic optima as our measure of local adaptation for stabilising selection simulations. When using the stabilising selection simulations to compare GEA methods, we used the proportion of</w:t>
      </w:r>
      <w:r>
        <w:t xml:space="preserve"> covariance explained by a given set of genes as a measure of local adaptation.</w:t>
      </w:r>
    </w:p>
    <w:p w14:paraId="46BB0D6B" w14:textId="77777777" w:rsidR="000B456F" w:rsidRDefault="0032250D">
      <w:pPr>
        <w:pStyle w:val="Heading2"/>
      </w:pPr>
      <w:bookmarkStart w:id="5" w:name="analysis-of-simulation-data"/>
      <w:r>
        <w:t>Analysis of simulation data</w:t>
      </w:r>
      <w:bookmarkEnd w:id="5"/>
    </w:p>
    <w:p w14:paraId="794DD28A" w14:textId="77777777" w:rsidR="00276073" w:rsidRDefault="0032250D">
      <w:pPr>
        <w:pStyle w:val="FirstParagraph"/>
      </w:pPr>
      <w:r>
        <w:t xml:space="preserve">We performed GEA on our simulated data using either Kendall’s </w:t>
      </w:r>
      <m:oMath>
        <m:r>
          <w:rPr>
            <w:rFonts w:ascii="Cambria Math" w:hAnsi="Cambria Math"/>
          </w:rPr>
          <m:t>τ</m:t>
        </m:r>
      </m:oMath>
      <w:r>
        <w:t xml:space="preserve">, a rank correlation that does not model population structure, or </w:t>
      </w:r>
      <w:r>
        <w:rPr>
          <w:i/>
        </w:rPr>
        <w:t>BayPass</w:t>
      </w:r>
      <w:r>
        <w:t>, a commonl</w:t>
      </w:r>
      <w:r>
        <w:t xml:space="preserve">y used package for estimating correlations between allele frequencies and environments while correcting for a population covariance matrix (Gautier 2015). For all analyses, except where specified, we analysed data for set of 40 randomly selected demes and </w:t>
      </w:r>
      <w:r>
        <w:t xml:space="preserve">sampled 50 individuals from each to estimate allele frequencies. We sampled individuals from the same set of 40 demes for all analyses (Figure </w:t>
      </w:r>
      <w:hyperlink w:anchor="fig:sampleMaps">
        <w:r>
          <w:rPr>
            <w:rStyle w:val="Hyperlink"/>
          </w:rPr>
          <w:t>9</w:t>
        </w:r>
      </w:hyperlink>
      <w:r>
        <w:t xml:space="preserve">). From a given replicate, we calculated Kendall’s </w:t>
      </w:r>
      <m:oMath>
        <m:r>
          <w:rPr>
            <w:rFonts w:ascii="Cambria Math" w:hAnsi="Cambria Math"/>
          </w:rPr>
          <m:t>τ</m:t>
        </m:r>
      </m:oMath>
      <w:r>
        <w:t xml:space="preserve"> between population-sp</w:t>
      </w:r>
      <w:r>
        <w:t xml:space="preserve">ecific allele frequencies and the local environment for each SNP. Any SNP </w:t>
      </w:r>
      <w:r>
        <w:lastRenderedPageBreak/>
        <w:t xml:space="preserve">with an average minor allele frequency less than 0.05 across demes was filtered out. We ran </w:t>
      </w:r>
      <w:r>
        <w:rPr>
          <w:i/>
        </w:rPr>
        <w:t>BayPass</w:t>
      </w:r>
      <w:r>
        <w:t xml:space="preserve"> (v2.1; Gautier (2015)) on simulated data following the "worked example" in section</w:t>
      </w:r>
      <w:r>
        <w:t xml:space="preserve"> 5.1.2 of the manual provided with the software.</w:t>
      </w:r>
    </w:p>
    <w:p w14:paraId="55E371D9" w14:textId="77777777" w:rsidR="00276073" w:rsidRDefault="0032250D">
      <w:pPr>
        <w:pStyle w:val="FirstParagraph"/>
      </w:pPr>
      <w:r>
        <w:br/>
        <w:t>We used three different methods to summarise the GEA results for each gene in a given simulation replicate, a single SNP-based approach, the WZA and the top-candidate method developed by (Yeaman et al. 2016)</w:t>
      </w:r>
      <w:r>
        <w:t xml:space="preserve">. Each simulation replicate included 1,000 genes, and after excluding alleles with a minor allele freuqnecy less than 0.05 there was an average of 23.3 SNPs per gene. The SNPs with the most extreme test statistic (i.e. smallest </w:t>
      </w:r>
      <w:r>
        <w:rPr>
          <w:i/>
        </w:rPr>
        <w:t>p</w:t>
      </w:r>
      <w:r>
        <w:t>-value or largest Bayes fac</w:t>
      </w:r>
      <w:r>
        <w:t>tor) for each gene was recorded and other SNPs in the gene were subsequently ignored. We then identified top hits using the ranks of the most extreme SNP in each gene across the genome.</w:t>
      </w:r>
    </w:p>
    <w:p w14:paraId="6176818F" w14:textId="77777777" w:rsidR="00276073" w:rsidRDefault="0032250D">
      <w:pPr>
        <w:pStyle w:val="FirstParagraph"/>
      </w:pPr>
      <w:r>
        <w:br/>
        <w:t xml:space="preserve">We applied the WZA to our simulated data using either Kendall’s </w:t>
      </w:r>
      <m:oMath>
        <m:r>
          <w:rPr>
            <w:rFonts w:ascii="Cambria Math" w:hAnsi="Cambria Math"/>
          </w:rPr>
          <m:t>τ</m:t>
        </m:r>
      </m:oMath>
      <w:r>
        <w:t xml:space="preserve"> or </w:t>
      </w:r>
      <w:r>
        <w:rPr>
          <w:i/>
        </w:rPr>
        <w:t>BayPass</w:t>
      </w:r>
      <w:r>
        <w:t xml:space="preserve"> results. We converted the </w:t>
      </w:r>
      <w:r>
        <w:rPr>
          <w:i/>
        </w:rPr>
        <w:t>p</w:t>
      </w:r>
      <w:r>
        <w:t xml:space="preserve">-values from Kendall’s </w:t>
      </w:r>
      <m:oMath>
        <m:r>
          <w:rPr>
            <w:rFonts w:ascii="Cambria Math" w:hAnsi="Cambria Math"/>
          </w:rPr>
          <m:t>τ</m:t>
        </m:r>
      </m:oMath>
      <w:r>
        <w:t xml:space="preserve">, converted into empirical </w:t>
      </w:r>
      <w:r>
        <w:rPr>
          <w:i/>
        </w:rPr>
        <w:t>p</w:t>
      </w:r>
      <w:r>
        <w:t xml:space="preserve">-values or Bayes factors from </w:t>
      </w:r>
      <w:r>
        <w:rPr>
          <w:i/>
        </w:rPr>
        <w:t>BayPass</w:t>
      </w:r>
      <w:r>
        <w:t xml:space="preserve">, converted into empirical </w:t>
      </w:r>
      <w:r>
        <w:rPr>
          <w:i/>
        </w:rPr>
        <w:t>p</w:t>
      </w:r>
      <w:r>
        <w:t xml:space="preserve">-values. For each of the </w:t>
      </w:r>
      <m:oMath>
        <m:r>
          <w:rPr>
            <w:rFonts w:ascii="Cambria Math" w:hAnsi="Cambria Math"/>
          </w:rPr>
          <m:t>n</m:t>
        </m:r>
      </m:oMath>
      <w:r>
        <w:t xml:space="preserve"> SNPs present in a gene, empirical </w:t>
      </w:r>
      <w:r>
        <w:rPr>
          <w:i/>
        </w:rPr>
        <w:t>p</w:t>
      </w:r>
      <w:r>
        <w:t xml:space="preserve">-values were converted into </w:t>
      </w:r>
      <m:oMath>
        <m:r>
          <w:rPr>
            <w:rFonts w:ascii="Cambria Math" w:hAnsi="Cambria Math"/>
          </w:rPr>
          <m:t>z</m:t>
        </m:r>
      </m:oMath>
      <w:r>
        <w:t xml:space="preserve"> scores an</w:t>
      </w:r>
      <w:r>
        <w:t xml:space="preserve">d used to calculate WZA scores </w:t>
      </w:r>
    </w:p>
    <w:p w14:paraId="4FB907D2" w14:textId="77777777" w:rsidR="00276073" w:rsidRDefault="0032250D">
      <w:pPr>
        <w:pStyle w:val="FirstParagraph"/>
      </w:pPr>
      <w:r>
        <w:t xml:space="preserve">(Equation </w:t>
      </w:r>
      <w:hyperlink w:anchor="weightedZ">
        <w:r>
          <w:rPr>
            <w:rStyle w:val="Hyperlink"/>
          </w:rPr>
          <w:t>[</w:t>
        </w:r>
        <w:proofErr w:type="spellStart"/>
        <w:r>
          <w:rPr>
            <w:rStyle w:val="Hyperlink"/>
          </w:rPr>
          <w:t>weightedZ</w:t>
        </w:r>
        <w:proofErr w:type="spellEnd"/>
        <w:r>
          <w:rPr>
            <w:rStyle w:val="Hyperlink"/>
          </w:rPr>
          <w:t>]</w:t>
        </w:r>
      </w:hyperlink>
      <w:r>
        <w:t>).</w:t>
      </w:r>
      <w:r>
        <w:br/>
      </w:r>
    </w:p>
    <w:p w14:paraId="7B86989C" w14:textId="227BE4AD" w:rsidR="00276073" w:rsidRDefault="0032250D">
      <w:pPr>
        <w:pStyle w:val="FirstParagraph"/>
      </w:pPr>
      <w:proofErr w:type="spellStart"/>
      <w:r>
        <w:t>Yeaman</w:t>
      </w:r>
      <w:proofErr w:type="spellEnd"/>
      <w:r>
        <w:t xml:space="preserve"> et al. </w:t>
      </w:r>
      <w:r w:rsidR="00276073">
        <w:t>(</w:t>
      </w:r>
      <w:r>
        <w:t>2016) proposed a procedure for combining information across sites in GEA studies that they referred to as the top-candidate method. The top-candidate meth</w:t>
      </w:r>
      <w:r>
        <w:t>od attempts to identify regions of the genome involved in local adaptation under the assumption that such regions may contain multiple sites that exhibit strong correlation with environmental variables. The top-candidate method asks whether there is a sign</w:t>
      </w:r>
      <w:r>
        <w:t xml:space="preserve">ificant excess of "outlier" SNPs in a region compared to what one would expect given the genome wide distribution. To apply the top-candidate method (Yeaman et al. 2016) classified </w:t>
      </w:r>
      <w:r>
        <w:rPr>
          <w:i/>
        </w:rPr>
        <w:t>p</w:t>
      </w:r>
      <w:r>
        <w:t>-values below the 1st percentile genome-wide as outliers. The number of ou</w:t>
      </w:r>
      <w:r>
        <w:t>tliers in a given genomic region is tested against the average number of outliers seen in a gene. A binomial test is then used to determine whether a given gene has an excess of outliers relative to the genome-wide expectation. Analysis windows or genes wi</w:t>
      </w:r>
      <w:r>
        <w:t xml:space="preserve">th a </w:t>
      </w:r>
      <w:r>
        <w:rPr>
          <w:i/>
        </w:rPr>
        <w:t>p</w:t>
      </w:r>
      <w:r>
        <w:t xml:space="preserve">-value from the binomial test less than 0.0001 were taken as "top-candidates" for local adaptation. In this study, we do not use the </w:t>
      </w:r>
      <w:r>
        <w:rPr>
          <w:i/>
        </w:rPr>
        <w:t>p</w:t>
      </w:r>
      <w:r>
        <w:t>-value from the binomial test to categorise windows as being significant or not, we use it as a continuous index.</w:t>
      </w:r>
    </w:p>
    <w:p w14:paraId="5CD14AEC" w14:textId="77777777" w:rsidR="00276073" w:rsidRDefault="0032250D">
      <w:pPr>
        <w:pStyle w:val="FirstParagraph"/>
      </w:pPr>
      <w:r>
        <w:br/>
        <w:t>We</w:t>
      </w:r>
      <w:r>
        <w:t xml:space="preserve"> examined the properties of the WZA in regions of low recombination by manipulating the tree-sequences we recorded in </w:t>
      </w:r>
      <w:r>
        <w:rPr>
          <w:i/>
        </w:rPr>
        <w:t>SLiM</w:t>
      </w:r>
      <w:r>
        <w:t xml:space="preserve">. In our simulations, genes were 9,999bp long, so to model genomic regions of low recombination rate, we extracted the coalescent trees that corresponded to the central 1,000bp or 100bp of each gene. For the 1,000bp and 100bp intervals, we added mutations </w:t>
      </w:r>
      <w:r>
        <w:t>at 10</w:t>
      </w:r>
      <m:oMath>
        <m:r>
          <w:rPr>
            <w:rFonts w:ascii="Cambria Math" w:hAnsi="Cambria Math"/>
          </w:rPr>
          <m:t>×</m:t>
        </m:r>
      </m:oMath>
      <w:r>
        <w:t xml:space="preserve"> and 100</w:t>
      </w:r>
      <m:oMath>
        <m:r>
          <w:rPr>
            <w:rFonts w:ascii="Cambria Math" w:hAnsi="Cambria Math"/>
          </w:rPr>
          <m:t>×</m:t>
        </m:r>
      </m:oMath>
      <w:r>
        <w:t xml:space="preserve"> the standard mutation rate.</w:t>
      </w:r>
    </w:p>
    <w:p w14:paraId="10FEA9F3" w14:textId="060083EA" w:rsidR="000B456F" w:rsidRDefault="0032250D">
      <w:pPr>
        <w:pStyle w:val="FirstParagraph"/>
      </w:pPr>
      <w:r>
        <w:br/>
        <w:t xml:space="preserve">Tree sequences were manipulated using the tskit package. Mutations were added to trees using msprime (REF) through the PySLiM package (version).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 estimator of </w:t>
      </w:r>
      <w:r>
        <w:lastRenderedPageBreak/>
        <w:t>linkage disequilibrium linkage dise</w:t>
      </w:r>
      <w:r>
        <w:t>quilibrium) were calculated using custom Python scripts that invoked the scikit-allel package (REF).</w:t>
      </w:r>
      <w:r>
        <w:br/>
      </w:r>
    </w:p>
    <w:p w14:paraId="14CA8E38" w14:textId="77777777" w:rsidR="000B456F" w:rsidRDefault="0032250D">
      <w:pPr>
        <w:pStyle w:val="Heading2"/>
      </w:pPr>
      <w:bookmarkStart w:id="6" w:name="analysis-of-data-from-lodgepole-pine"/>
      <w:r>
        <w:t>Analysis of data from Lodgepole pine</w:t>
      </w:r>
      <w:bookmarkEnd w:id="6"/>
    </w:p>
    <w:p w14:paraId="39BEC400" w14:textId="77777777" w:rsidR="000B456F" w:rsidRDefault="0032250D">
      <w:pPr>
        <w:pStyle w:val="FirstParagraph"/>
      </w:pPr>
      <w:r>
        <w:t xml:space="preserve">We re-analysed a previously published population genomic dataset for lodgepole pine, </w:t>
      </w:r>
      <w:r>
        <w:rPr>
          <w:i/>
        </w:rPr>
        <w:t>Pinus contorta</w:t>
      </w:r>
      <w:r>
        <w:t>, a conifer that i</w:t>
      </w:r>
      <w:r>
        <w:t>s widely distributed across the North West of North America. Briefly, (Yeaman et al. 2016) collected samples from 254 populations across British Columbia and Alberta, Canada and Northern Washington, USA. The lodgepole pine genome is very large ( 20Gbp), so</w:t>
      </w:r>
      <w:r>
        <w:t xml:space="preserve"> (Yeaman et al. 2016) used a sequence capture technique based on the </w:t>
      </w:r>
      <w:r>
        <w:rPr>
          <w:i/>
        </w:rPr>
        <w:t>P. contorta</w:t>
      </w:r>
      <w:r>
        <w:t xml:space="preserve"> transcriptome. Allele frequencies were estimated for many markers across the captured portion of the genome by sequencing 2-4 individuals per population. (Yeaman et al. 2016) </w:t>
      </w:r>
      <w:r>
        <w:t xml:space="preserve">performed GEA on each SNP using Spearman’s </w:t>
      </w:r>
      <m:oMath>
        <m:r>
          <w:rPr>
            <w:rFonts w:ascii="Cambria Math" w:hAnsi="Cambria Math"/>
          </w:rPr>
          <m:t>ρ</m:t>
        </m:r>
      </m:oMath>
      <w:r>
        <w:t xml:space="preserve"> and used their top-candidate method (see above) to aggregate data across sites within genes. We downloaded the data for individual SNPs from the Dryad repository associated with (Yeaman et al. 2016) (https://do</w:t>
      </w:r>
      <w:r>
        <w:t xml:space="preserve">i.org/10.5061/dryad.0t407). We converted Spearman’s </w:t>
      </w:r>
      <m:oMath>
        <m:r>
          <w:rPr>
            <w:rFonts w:ascii="Cambria Math" w:hAnsi="Cambria Math"/>
          </w:rPr>
          <m:t>ρ</m:t>
        </m:r>
      </m:oMath>
      <w:r>
        <w:t xml:space="preserve"> </w:t>
      </w:r>
      <w:r>
        <w:rPr>
          <w:i/>
        </w:rPr>
        <w:t>p</w:t>
      </w:r>
      <w:r>
        <w:t xml:space="preserve">-values into empirical </w:t>
      </w:r>
      <w:r>
        <w:rPr>
          <w:i/>
        </w:rPr>
        <w:t>p</w:t>
      </w:r>
      <w:r>
        <w:t xml:space="preserve">-values and performed the WZA on the same genes analysed by Yeaman et al (2016). We also performed the top-candidate method, classifying SNPs with empirical </w:t>
      </w:r>
      <w:r>
        <w:rPr>
          <w:i/>
        </w:rPr>
        <w:t>p-values</w:t>
      </w:r>
      <w:r>
        <w:t xml:space="preserve"> &lt; 0.01 as </w:t>
      </w:r>
      <w:r>
        <w:t>outliers.</w:t>
      </w:r>
    </w:p>
    <w:p w14:paraId="6671FCAE" w14:textId="77777777" w:rsidR="000B456F" w:rsidRDefault="0032250D">
      <w:pPr>
        <w:pStyle w:val="Heading2"/>
      </w:pPr>
      <w:bookmarkStart w:id="7" w:name="data-availability"/>
      <w:r>
        <w:t>Data Availability</w:t>
      </w:r>
      <w:bookmarkEnd w:id="7"/>
    </w:p>
    <w:p w14:paraId="3DF78065" w14:textId="77777777" w:rsidR="000B456F" w:rsidRDefault="0032250D">
      <w:pPr>
        <w:pStyle w:val="FirstParagraph"/>
      </w:pPr>
      <w:r>
        <w:t xml:space="preserve">The simulation configuration files and code to perform the analysis of simulated data and generate the associated plots are available at </w:t>
      </w:r>
      <w:hyperlink r:id="rId8">
        <w:r>
          <w:rPr>
            <w:rStyle w:val="Hyperlink"/>
          </w:rPr>
          <w:t>github/TBooker/GEA/WZA</w:t>
        </w:r>
      </w:hyperlink>
      <w:r>
        <w:t>. Tree-sequence files for t</w:t>
      </w:r>
      <w:r>
        <w:t>he simulated populations are available at Dryad and all processed GEA files are available on (SomeCoolLocation).</w:t>
      </w:r>
    </w:p>
    <w:p w14:paraId="5B056CB8" w14:textId="77777777" w:rsidR="000B456F" w:rsidRDefault="0032250D">
      <w:pPr>
        <w:pStyle w:val="Heading1"/>
      </w:pPr>
      <w:bookmarkStart w:id="8" w:name="results"/>
      <w:r>
        <w:t>Results</w:t>
      </w:r>
      <w:bookmarkEnd w:id="8"/>
    </w:p>
    <w:p w14:paraId="7A28BA5D" w14:textId="77777777" w:rsidR="000B456F" w:rsidRDefault="0032250D">
      <w:pPr>
        <w:pStyle w:val="Heading2"/>
      </w:pPr>
      <w:bookmarkStart w:id="9" w:name="simulations-of-local-adaptation"/>
      <w:r>
        <w:t>Simulations of local adaptation</w:t>
      </w:r>
      <w:bookmarkEnd w:id="9"/>
    </w:p>
    <w:p w14:paraId="417A8366" w14:textId="77777777" w:rsidR="00276073" w:rsidRDefault="0032250D">
      <w:pPr>
        <w:pStyle w:val="FirstParagraph"/>
      </w:pPr>
      <w:r>
        <w:t>We simulated meta-populations inhabiting and adapting to heterogeneous environments. We modelled the po</w:t>
      </w:r>
      <w:r>
        <w:t xml:space="preserve">pulation structure in our simulations on an idealised conifer species. In conifers, strong isolation-by-distance has been reported and overall mean </w:t>
      </w:r>
      <m:oMath>
        <m:sSub>
          <m:sSubPr>
            <m:ctrlPr>
              <w:rPr>
                <w:rFonts w:ascii="Cambria Math" w:hAnsi="Cambria Math"/>
              </w:rPr>
            </m:ctrlPr>
          </m:sSubPr>
          <m:e>
            <m:r>
              <w:rPr>
                <w:rFonts w:ascii="Cambria Math" w:hAnsi="Cambria Math"/>
              </w:rPr>
              <m:t>F</m:t>
            </m:r>
          </m:e>
          <m:sub>
            <m:r>
              <w:rPr>
                <w:rFonts w:ascii="Cambria Math" w:hAnsi="Cambria Math"/>
              </w:rPr>
              <m:t>ST</m:t>
            </m:r>
          </m:sub>
        </m:sSub>
        <m:r>
          <w:rPr>
            <w:rFonts w:ascii="Cambria Math" w:hAnsi="Cambria Math"/>
          </w:rPr>
          <m:t>&lt;0.10</m:t>
        </m:r>
      </m:oMath>
      <w:r>
        <w:t xml:space="preserve"> has been estimated in several species (Mimura and Aitken 2007; Mosca, González-Martínez, and Nea</w:t>
      </w:r>
      <w:r>
        <w:t xml:space="preserve">le 2014). In our simulations, population mean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was 0.042 (Figure </w:t>
      </w:r>
      <w:hyperlink w:anchor="fig:summaryStats">
        <w:r>
          <w:rPr>
            <w:rStyle w:val="Hyperlink"/>
          </w:rPr>
          <w:t>3</w:t>
        </w:r>
      </w:hyperlink>
      <w:r>
        <w:t>A). As expected under spatially restricted dispersal, our simulated stepping-stone populations exhibited strong patterns of isolation-by-distance</w:t>
      </w:r>
      <w:r>
        <w:t xml:space="preserve"> with pairwise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increasing with distance between demes (Figure </w:t>
      </w:r>
      <w:hyperlink w:anchor="fig:summaryStats">
        <w:r>
          <w:rPr>
            <w:rStyle w:val="Hyperlink"/>
          </w:rPr>
          <w:t>3</w:t>
        </w:r>
      </w:hyperlink>
      <w:r>
        <w:t>A). Overall, population structure in our simulations was similar to what has been reported in natural conifer populations.</w:t>
      </w:r>
    </w:p>
    <w:p w14:paraId="37B4F663" w14:textId="77777777" w:rsidR="00276073" w:rsidRDefault="0032250D">
      <w:pPr>
        <w:pStyle w:val="FirstParagraph"/>
      </w:pPr>
      <w:r>
        <w:br/>
        <w:t>It has been reported tha</w:t>
      </w:r>
      <w:r>
        <w:t xml:space="preserve">t linkage disequilibrium (LD) decays rapidly in conifers, with LD between pairs of SNPs decaying to background levels within 1,000bp or so in several species (Pavy et al. 2012). We examined the decay of LD between pairs of SNPs located in </w:t>
      </w:r>
      <w:r>
        <w:lastRenderedPageBreak/>
        <w:t xml:space="preserve">the same gene in </w:t>
      </w:r>
      <w:r>
        <w:t xml:space="preserve">our simulations. For neutral sites, LD decayed rapidly with SNPs that were approximately 600bp apart having, on average, half the LD of immediately adjacent SNPs (Figure </w:t>
      </w:r>
      <w:hyperlink w:anchor="fig:summaryStats">
        <w:r>
          <w:rPr>
            <w:rStyle w:val="Hyperlink"/>
          </w:rPr>
          <w:t>3</w:t>
        </w:r>
      </w:hyperlink>
      <w:r>
        <w:t>B). Linkage disequilibrium (LD) decayed to a b</w:t>
      </w:r>
      <w:r>
        <w:t>ackground level of around 0.1 within demes in our simulations. Thus, patterns of LD decay in our simulations were similar to the patterns reported for conifers.</w:t>
      </w:r>
    </w:p>
    <w:p w14:paraId="078274BB" w14:textId="140FA837" w:rsidR="000B456F" w:rsidRDefault="0032250D">
      <w:pPr>
        <w:pStyle w:val="FirstParagraph"/>
      </w:pPr>
      <w:r>
        <w:br/>
        <w:t>Simulated populations exhibited local adaptation to the maps of environmental heterogeneity tha</w:t>
      </w:r>
      <w:r>
        <w:t>t we implemented. The genome of our simulated species had 1,000 genes, of which 12 could potentially contribute to adaptation. When assuming directional selection, an average of 6.35, 6.50 and 5.80 genes contained genetic variants that established and cont</w:t>
      </w:r>
      <w:r>
        <w:t xml:space="preserve">ributed to local adaptation when assuming the </w:t>
      </w:r>
      <w:r>
        <w:rPr>
          <w:i/>
        </w:rPr>
        <w:t>BC</w:t>
      </w:r>
      <w:r>
        <w:t xml:space="preserve"> map, the </w:t>
      </w:r>
      <w:r>
        <w:rPr>
          <w:i/>
        </w:rPr>
        <w:t>Gradient</w:t>
      </w:r>
      <w:r>
        <w:t xml:space="preserve"> map and the </w:t>
      </w:r>
      <w:r>
        <w:rPr>
          <w:i/>
        </w:rPr>
        <w:t>Truncated</w:t>
      </w:r>
      <w:r>
        <w:t xml:space="preserve"> map, respectively. In our simulations assuming stabilising selection, individuals’ and population mean phenotypes closely matched the phenoypic optima of their local e</w:t>
      </w:r>
      <w:r>
        <w:t xml:space="preserve">nvironment (Figure </w:t>
      </w:r>
      <w:hyperlink w:anchor="fig:localAdaptationPhenotypes">
        <w:r>
          <w:rPr>
            <w:rStyle w:val="Hyperlink"/>
          </w:rPr>
          <w:t>4</w:t>
        </w:r>
      </w:hyperlink>
      <w:r>
        <w:t xml:space="preserve">). The average numbers of genes contributing to local adaptation in individual replicates in these simulations were 7.15, 6.45 and 5.35 when assuming the </w:t>
      </w:r>
      <w:r>
        <w:rPr>
          <w:i/>
        </w:rPr>
        <w:t>BC</w:t>
      </w:r>
      <w:r>
        <w:t xml:space="preserve"> map, the </w:t>
      </w:r>
      <w:r>
        <w:rPr>
          <w:i/>
        </w:rPr>
        <w:t>Gradient</w:t>
      </w:r>
      <w:r>
        <w:t xml:space="preserve"> map and t</w:t>
      </w:r>
      <w:r>
        <w:t xml:space="preserve">he </w:t>
      </w:r>
      <w:r>
        <w:rPr>
          <w:i/>
        </w:rPr>
        <w:t>Truncated</w:t>
      </w:r>
      <w:r>
        <w:t xml:space="preserve"> map, respectively.</w:t>
      </w:r>
      <w:r>
        <w:br/>
      </w:r>
    </w:p>
    <w:p w14:paraId="32C4CFA0" w14:textId="6D1BD538" w:rsidR="000B456F" w:rsidRDefault="0032250D">
      <w:pPr>
        <w:pStyle w:val="Heading2"/>
      </w:pPr>
      <w:bookmarkStart w:id="10" w:name="X9878a172de9e1ac6fdf9cae46e0ab870bcf7422"/>
      <w:r>
        <w:lastRenderedPageBreak/>
        <w:t>The distribution of WZA scores u</w:t>
      </w:r>
      <w:r w:rsidR="00276073">
        <w:t>n</w:t>
      </w:r>
      <w:r>
        <w:t>der neutrality</w:t>
      </w:r>
      <w:bookmarkEnd w:id="10"/>
    </w:p>
    <w:p w14:paraId="435DEE9D" w14:textId="77777777" w:rsidR="000B456F" w:rsidRDefault="0032250D">
      <w:pPr>
        <w:pStyle w:val="CaptionedFigure"/>
      </w:pPr>
      <w:bookmarkStart w:id="11" w:name="fig:NeutralHistograms"/>
      <w:r>
        <w:rPr>
          <w:noProof/>
        </w:rPr>
        <w:drawing>
          <wp:inline distT="0" distB="0" distL="0" distR="0" wp14:anchorId="2E15BDCE" wp14:editId="6B2387EE">
            <wp:extent cx="4048018" cy="6688455"/>
            <wp:effectExtent l="0" t="0" r="0" b="0"/>
            <wp:docPr id="1" name="Picture" descr="Density histograms of WZA scores for three cases. A) An finite island population, Z_W scores were calculated using uncorrected p-values obtained from Kendall’s \tau. B) The BC-map, Z_W scores were calculated using uncorrected p-values obtained from Kendall’s \tau. C). Inset in each panel is a histogram focussing on the upper tail of the Z_W distribution. The solid line in each panel is the normal distribution fit to the data."/>
            <wp:cNvGraphicFramePr/>
            <a:graphic xmlns:a="http://schemas.openxmlformats.org/drawingml/2006/main">
              <a:graphicData uri="http://schemas.openxmlformats.org/drawingml/2006/picture">
                <pic:pic xmlns:pic="http://schemas.openxmlformats.org/drawingml/2006/picture">
                  <pic:nvPicPr>
                    <pic:cNvPr id="0" name="Picture" descr="Plots/neutralResults_histogram.pdf"/>
                    <pic:cNvPicPr>
                      <a:picLocks noChangeAspect="1" noChangeArrowheads="1"/>
                    </pic:cNvPicPr>
                  </pic:nvPicPr>
                  <pic:blipFill>
                    <a:blip r:embed="rId9"/>
                    <a:stretch>
                      <a:fillRect/>
                    </a:stretch>
                  </pic:blipFill>
                  <pic:spPr bwMode="auto">
                    <a:xfrm>
                      <a:off x="0" y="0"/>
                      <a:ext cx="4054308" cy="6698848"/>
                    </a:xfrm>
                    <a:prstGeom prst="rect">
                      <a:avLst/>
                    </a:prstGeom>
                    <a:noFill/>
                    <a:ln w="9525">
                      <a:noFill/>
                      <a:headEnd/>
                      <a:tailEnd/>
                    </a:ln>
                  </pic:spPr>
                </pic:pic>
              </a:graphicData>
            </a:graphic>
          </wp:inline>
        </w:drawing>
      </w:r>
      <w:bookmarkEnd w:id="11"/>
    </w:p>
    <w:p w14:paraId="0597CD70" w14:textId="77777777" w:rsidR="000B456F" w:rsidRDefault="0032250D">
      <w:pPr>
        <w:pStyle w:val="ImageCaption"/>
      </w:pPr>
      <w:r>
        <w:t xml:space="preserve">Density histograms of WZA scores for three cases. A) An finite island population,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were calculated using uncorrected </w:t>
      </w:r>
      <m:oMath>
        <m:r>
          <w:rPr>
            <w:rFonts w:ascii="Cambria Math" w:hAnsi="Cambria Math"/>
          </w:rPr>
          <m:t>p</m:t>
        </m:r>
      </m:oMath>
      <w:r>
        <w:t xml:space="preserve">-values obtained from Kendall’s </w:t>
      </w:r>
      <m:oMath>
        <m:r>
          <w:rPr>
            <w:rFonts w:ascii="Cambria Math" w:hAnsi="Cambria Math"/>
          </w:rPr>
          <m:t>τ</m:t>
        </m:r>
      </m:oMath>
      <w:r>
        <w:t xml:space="preserve">. B) The BC-map,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were calculated using uncorrected </w:t>
      </w:r>
      <m:oMath>
        <m:r>
          <w:rPr>
            <w:rFonts w:ascii="Cambria Math" w:hAnsi="Cambria Math"/>
          </w:rPr>
          <m:t>p</m:t>
        </m:r>
      </m:oMath>
      <w:r>
        <w:t xml:space="preserve">-values obtained from Kendall’s </w:t>
      </w:r>
      <m:oMath>
        <m:r>
          <w:rPr>
            <w:rFonts w:ascii="Cambria Math" w:hAnsi="Cambria Math"/>
          </w:rPr>
          <m:t>τ</m:t>
        </m:r>
      </m:oMath>
      <w:r>
        <w:t xml:space="preserve">. C). Inset in each panel is a histogram focussing on the upper tail of the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distribution. The solid line in each panel</w:t>
      </w:r>
      <w:r>
        <w:t xml:space="preserve"> is the normal distribution fit to the data.</w:t>
      </w:r>
    </w:p>
    <w:p w14:paraId="42DA638B" w14:textId="77777777" w:rsidR="00276073" w:rsidRDefault="0032250D">
      <w:pPr>
        <w:pStyle w:val="BodyText"/>
      </w:pPr>
      <w:r>
        <w:lastRenderedPageBreak/>
        <w:t xml:space="preserve">The WZA combines summary statistics from tests that are assumed to be statistically independent. Under the null hypothesis that all tests are non-significant, the distribution of the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is expected to be the s</w:t>
      </w:r>
      <w:r>
        <w:t>tandard normal distribution (i.e. a mean of 0 and a standard deviation of 1). In this study, we propose using the weighted-Z test to aggregate results for GEA studies applied to genome-wide SNPs. However, tightly linked SNPs obviously violate the assumptio</w:t>
      </w:r>
      <w:r>
        <w:t xml:space="preserve">n of statistical independence, so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from the WZA may not be normal.</w:t>
      </w:r>
    </w:p>
    <w:p w14:paraId="0BC14588" w14:textId="77777777" w:rsidR="00276073" w:rsidRDefault="0032250D">
      <w:pPr>
        <w:pStyle w:val="BodyText"/>
      </w:pPr>
      <w:r>
        <w:br/>
        <w:t xml:space="preserve">Applying the WZA to GEA results for populations modelled under the island model, we found that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slightly deviated from the null</w:t>
      </w:r>
      <w:r>
        <w:t xml:space="preserve"> expectation of the standard normal distribution; across a single replicate, for example, the mean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was 0.089 and the standard deviation was 1.36. Figure </w:t>
      </w:r>
      <w:hyperlink w:anchor="fig:NeutralHistograms">
        <w:r>
          <w:rPr>
            <w:rStyle w:val="Hyperlink"/>
          </w:rPr>
          <w:t>1</w:t>
        </w:r>
      </w:hyperlink>
      <w:r>
        <w:t xml:space="preserve">A shows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was skewed wi</w:t>
      </w:r>
      <w:r>
        <w:t xml:space="preserve">th a fat right-hand tail. The deviation from the null expectation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was exaggerated when analysing data from stepping-stone simulations (Figure </w:t>
      </w:r>
      <w:hyperlink w:anchor="fig:NeutralHistograms">
        <w:r>
          <w:rPr>
            <w:rStyle w:val="Hyperlink"/>
          </w:rPr>
          <w:t>1</w:t>
        </w:r>
      </w:hyperlink>
      <w:r>
        <w:t xml:space="preserve">B-C). Figure </w:t>
      </w:r>
      <w:hyperlink w:anchor="fig:NeutralHistograms">
        <w:r>
          <w:rPr>
            <w:rStyle w:val="Hyperlink"/>
          </w:rPr>
          <w:t>1</w:t>
        </w:r>
      </w:hyperlink>
      <w:r>
        <w:t xml:space="preserve">B shows that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assuming Kendall’s </w:t>
      </w:r>
      <m:oMath>
        <m:r>
          <w:rPr>
            <w:rFonts w:ascii="Cambria Math" w:hAnsi="Cambria Math"/>
          </w:rPr>
          <m:t>τ</m:t>
        </m:r>
      </m:oMath>
      <w:r>
        <w:t xml:space="preserve"> results had a thicker right-hand tail than expected under the null. Applying the WZA to population structure corrected GEA (BayPass) results, we also found a thicker </w:t>
      </w:r>
      <w:proofErr w:type="gramStart"/>
      <w:r>
        <w:t>right hand</w:t>
      </w:r>
      <w:proofErr w:type="gramEnd"/>
      <w:r>
        <w:t xml:space="preserve"> tail to the dis</w:t>
      </w:r>
      <w:r>
        <w:t xml:space="preserve">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 than expected under the null (Figure </w:t>
      </w:r>
      <w:hyperlink w:anchor="fig:NeutralHistograms">
        <w:r>
          <w:rPr>
            <w:rStyle w:val="Hyperlink"/>
          </w:rPr>
          <w:t>1</w:t>
        </w:r>
      </w:hyperlink>
      <w:r>
        <w:t>C).</w:t>
      </w:r>
    </w:p>
    <w:p w14:paraId="2BB0F158" w14:textId="4F29A58F" w:rsidR="000B456F" w:rsidRDefault="0032250D">
      <w:pPr>
        <w:pStyle w:val="BodyText"/>
      </w:pPr>
      <w:r>
        <w:br/>
        <w:t>To assess the statistical properties of the WZA, we first performed GEA analyses on populations structured according to an island model. While pot</w:t>
      </w:r>
      <w:r>
        <w:t xml:space="preserve">entially unrealistic, the island model allowed us to determine the statistical properties of the WZA without spatial heterogeneity in the environment being confounded with population structure. We performed GEA using Kendall’s </w:t>
      </w:r>
      <m:oMath>
        <m:r>
          <w:rPr>
            <w:rFonts w:ascii="Cambria Math" w:hAnsi="Cambria Math"/>
          </w:rPr>
          <m:t>τ</m:t>
        </m:r>
      </m:oMath>
      <w:r>
        <w:t xml:space="preserve"> on island model population</w:t>
      </w:r>
      <w:r>
        <w:t xml:space="preserve">s using the distribution of environments from the </w:t>
      </w:r>
      <w:r>
        <w:rPr>
          <w:i/>
        </w:rPr>
        <w:t>BC</w:t>
      </w:r>
      <w:r>
        <w:t xml:space="preserve"> map. Applying the WZA to GEA results for populations modelled under the island model, we found that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slightly deviated from the null expectation of the standard normal dist</w:t>
      </w:r>
      <w:r>
        <w:t xml:space="preserve">ribution; the mean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was 0.089 across 20 replicates, with a standard deviation of 1.36. Figure </w:t>
      </w:r>
      <w:hyperlink w:anchor="fig:NeutralHistograms">
        <w:r>
          <w:rPr>
            <w:rStyle w:val="Hyperlink"/>
          </w:rPr>
          <w:t>1</w:t>
        </w:r>
      </w:hyperlink>
      <w:r>
        <w:t xml:space="preserve">A shows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was skewed with a fat right-hand tail. We then applied the WZA to evolvin</w:t>
      </w:r>
      <w:r>
        <w:t xml:space="preserve">g neutrally stepping-stone populations and assumed the </w:t>
      </w:r>
      <w:r>
        <w:rPr>
          <w:i/>
        </w:rPr>
        <w:t>BC</w:t>
      </w:r>
      <w:r>
        <w:t xml:space="preserve"> map. The deviation from the null expectation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was exaggerated when analysing data from stepping-stone simulations (Figure </w:t>
      </w:r>
      <w:hyperlink w:anchor="fig:NeutralHistograms">
        <w:r>
          <w:rPr>
            <w:rStyle w:val="Hyperlink"/>
          </w:rPr>
          <w:t>1</w:t>
        </w:r>
      </w:hyperlink>
      <w:r>
        <w:t xml:space="preserve">B-C). Figure </w:t>
      </w:r>
      <w:hyperlink w:anchor="fig:NeutralHistograms">
        <w:r>
          <w:rPr>
            <w:rStyle w:val="Hyperlink"/>
          </w:rPr>
          <w:t>1</w:t>
        </w:r>
      </w:hyperlink>
      <w:r>
        <w:t xml:space="preserve">B shows that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assuming Kendall’s </w:t>
      </w:r>
      <m:oMath>
        <m:r>
          <w:rPr>
            <w:rFonts w:ascii="Cambria Math" w:hAnsi="Cambria Math"/>
          </w:rPr>
          <m:t>τ</m:t>
        </m:r>
      </m:oMath>
      <w:r>
        <w:t xml:space="preserve"> results has a thicker right-hand tail than expected under the null. Applying the WZA to population structure corrected GEA (BayPass) results, we also found</w:t>
      </w:r>
      <w:r>
        <w:t xml:space="preserve"> a thicker right hand tail to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 than expected under the null (Figure </w:t>
      </w:r>
      <w:hyperlink w:anchor="fig:NeutralHistograms">
        <w:r>
          <w:rPr>
            <w:rStyle w:val="Hyperlink"/>
          </w:rPr>
          <w:t>1</w:t>
        </w:r>
      </w:hyperlink>
      <w:r>
        <w:t xml:space="preserve">C). In the case of the BayPAss results, the mean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w:t>
      </w:r>
      <w:r>
        <w:t xml:space="preserve">was far greater than 0 (Figure </w:t>
      </w:r>
      <w:hyperlink w:anchor="fig:NeutralHistograms">
        <w:r>
          <w:rPr>
            <w:rStyle w:val="Hyperlink"/>
          </w:rPr>
          <w:t>1</w:t>
        </w:r>
      </w:hyperlink>
      <w:r>
        <w:t xml:space="preserve">C). This presumably reflects the difference between the null distributions of </w:t>
      </w:r>
      <w:r>
        <w:rPr>
          <w:i/>
        </w:rPr>
        <w:t>p</w:t>
      </w:r>
      <w:r>
        <w:t>-values (uniform) and Bayes factors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w:t>
      </w:r>
      <w:r>
        <w:br/>
      </w:r>
    </w:p>
    <w:p w14:paraId="3E278487" w14:textId="77777777" w:rsidR="000B456F" w:rsidRDefault="0032250D">
      <w:pPr>
        <w:pStyle w:val="Heading2"/>
      </w:pPr>
      <w:bookmarkStart w:id="12" w:name="X6ea56c965473b78f3a7acf5c285b77237ded4ef"/>
      <w:r>
        <w:lastRenderedPageBreak/>
        <w:t>Comparison of window-based and individual SNP-based GEA a</w:t>
      </w:r>
      <w:r>
        <w:t>pproaches</w:t>
      </w:r>
      <w:bookmarkEnd w:id="12"/>
    </w:p>
    <w:p w14:paraId="42EF96E3" w14:textId="77777777" w:rsidR="00276073" w:rsidRDefault="0032250D">
      <w:pPr>
        <w:pStyle w:val="FirstParagraph"/>
      </w:pPr>
      <w:r>
        <w:t xml:space="preserve">We performed GEA on our simulated data using either Kendall’s </w:t>
      </w:r>
      <m:oMath>
        <m:r>
          <w:rPr>
            <w:rFonts w:ascii="Cambria Math" w:hAnsi="Cambria Math"/>
          </w:rPr>
          <m:t>τ</m:t>
        </m:r>
      </m:oMath>
      <w:r>
        <w:t xml:space="preserve">, a rank correlation that does not model population structure, or </w:t>
      </w:r>
      <w:r>
        <w:rPr>
          <w:i/>
        </w:rPr>
        <w:t>BayPass</w:t>
      </w:r>
      <w:r>
        <w:t xml:space="preserve"> an analysis that estimates correlations between environmental variables and allele frequencies incorporating</w:t>
      </w:r>
      <w:r>
        <w:t xml:space="preserve"> a population covariance matrix. Our simulations incorporated three different maps of environmental heterogeneity (Figure </w:t>
      </w:r>
      <w:hyperlink w:anchor="fig:envGridPlot">
        <w:r>
          <w:rPr>
            <w:rStyle w:val="Hyperlink"/>
          </w:rPr>
          <w:t>[fig:envGridPlot]</w:t>
        </w:r>
      </w:hyperlink>
      <w:r>
        <w:t>) and modelled local adaptation under either directional or stabilising selecti</w:t>
      </w:r>
      <w:r>
        <w:t xml:space="preserve">on. When using either </w:t>
      </w:r>
      <w:r>
        <w:rPr>
          <w:i/>
        </w:rPr>
        <w:t>BayPass</w:t>
      </w:r>
      <w:r>
        <w:t xml:space="preserve"> Bayes factors or </w:t>
      </w:r>
      <w:r>
        <w:rPr>
          <w:i/>
        </w:rPr>
        <w:t>p</w:t>
      </w:r>
      <w:r>
        <w:t xml:space="preserve">-values from Kendall’s </w:t>
      </w:r>
      <m:oMath>
        <m:r>
          <w:rPr>
            <w:rFonts w:ascii="Cambria Math" w:hAnsi="Cambria Math"/>
          </w:rPr>
          <m:t>τ</m:t>
        </m:r>
      </m:oMath>
      <w:r>
        <w:t xml:space="preserve"> as input to the WZA,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for the genes that contributed to local adaptation was shifted upwards compared to the distribution for neutrally evolving genes </w:t>
      </w:r>
      <w:r>
        <w:t xml:space="preserve">(Figure </w:t>
      </w:r>
      <w:hyperlink w:anchor="fig:ZScoreDistribution">
        <w:r>
          <w:rPr>
            <w:rStyle w:val="Hyperlink"/>
          </w:rPr>
          <w:t>6</w:t>
        </w:r>
      </w:hyperlink>
      <w:r>
        <w:t>). However, assuming stabilising or directional selection led to different distributions of effect size for the genes involved in local adaptation. In particular, directional selection resulted in an al</w:t>
      </w:r>
      <w:r>
        <w:t xml:space="preserve">most normal distribution of effect sizes whereas stabilising selection led to a broad distribution (Figure </w:t>
      </w:r>
      <w:hyperlink w:anchor="fig:effectSizeDistribution">
        <w:r>
          <w:rPr>
            <w:rStyle w:val="Hyperlink"/>
          </w:rPr>
          <w:t>5</w:t>
        </w:r>
      </w:hyperlink>
      <w:r>
        <w:t>).</w:t>
      </w:r>
    </w:p>
    <w:p w14:paraId="0D13F46E" w14:textId="10951913" w:rsidR="000B456F" w:rsidRDefault="0032250D">
      <w:pPr>
        <w:pStyle w:val="FirstParagraph"/>
      </w:pPr>
      <w:r>
        <w:br/>
        <w:t>We compared the WZA to two other methods for identifying genomic regions that contribute to loca</w:t>
      </w:r>
      <w:r>
        <w:t>l adaptation from GEA data. The first was the top-candidate method of (Yeaman et al. 2016), which asks whether a genomic region has more outlier SNPs than one would expect based on the rest of the genome. The second was a single-SNP based approach, where t</w:t>
      </w:r>
      <w:r>
        <w:t>he most extreme test statistic in each gene was used to identify outliers. To assess the performance of the different tests, we examined the genes with the most extreme test statistics and asked whether they contributed to local adaptation. We examined the</w:t>
      </w:r>
      <w:r>
        <w:t xml:space="preserve"> top 1, 2, 3,... 50 genes in terms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t>
      </w:r>
      <m:oMath>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p</m:t>
        </m:r>
      </m:oMath>
      <w:r>
        <w:t xml:space="preserve">-values) from the top-candidate method, or the SNP-based approach scores. Figure </w:t>
      </w:r>
      <w:hyperlink w:anchor="fig:demoPlots">
        <w:r>
          <w:rPr>
            <w:rStyle w:val="Hyperlink"/>
          </w:rPr>
          <w:t>8</w:t>
        </w:r>
      </w:hyperlink>
      <w:r>
        <w:t xml:space="preserve"> shows the </w:t>
      </w:r>
      <m:oMath>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p</m:t>
        </m:r>
      </m:oMath>
      <w:r>
        <w:t xml:space="preserve">-values) from Kendall’s </w:t>
      </w:r>
      <m:oMath>
        <m:r>
          <w:rPr>
            <w:rFonts w:ascii="Cambria Math" w:hAnsi="Cambria Math"/>
          </w:rPr>
          <m:t>τ</m:t>
        </m:r>
      </m:oMath>
      <w:r>
        <w:t xml:space="preserve"> represented as a Manhatta</w:t>
      </w:r>
      <w:r>
        <w:t xml:space="preserve">n plot for individual simulation replicates along with WZA and top-candidate scores. Figure </w:t>
      </w:r>
      <w:hyperlink w:anchor="fig:demoPlots">
        <w:r>
          <w:rPr>
            <w:rStyle w:val="Hyperlink"/>
          </w:rPr>
          <w:t>8</w:t>
        </w:r>
      </w:hyperlink>
      <w:r>
        <w:t xml:space="preserve"> also the proportion of true positives detected for the three simulation replicates.</w:t>
      </w:r>
      <w:r>
        <w:br/>
      </w:r>
    </w:p>
    <w:p w14:paraId="5194DB14" w14:textId="77777777" w:rsidR="000B456F" w:rsidRDefault="0032250D">
      <w:pPr>
        <w:pStyle w:val="BodyText"/>
      </w:pPr>
      <w:r>
        <w:rPr>
          <w:noProof/>
        </w:rPr>
        <w:drawing>
          <wp:inline distT="0" distB="0" distL="0" distR="0" wp14:anchorId="364EF762" wp14:editId="0E753336">
            <wp:extent cx="5334000" cy="2133600"/>
            <wp:effectExtent l="0" t="0" r="0" b="0"/>
            <wp:docPr id="2" name="Picture" descr="image"/>
            <wp:cNvGraphicFramePr/>
            <a:graphic xmlns:a="http://schemas.openxmlformats.org/drawingml/2006/main">
              <a:graphicData uri="http://schemas.openxmlformats.org/drawingml/2006/picture">
                <pic:pic xmlns:pic="http://schemas.openxmlformats.org/drawingml/2006/picture">
                  <pic:nvPicPr>
                    <pic:cNvPr id="0" name="Picture" descr="Plots/UncorrectedBayPassComparison_TruePositives.pdf"/>
                    <pic:cNvPicPr>
                      <a:picLocks noChangeAspect="1" noChangeArrowheads="1"/>
                    </pic:cNvPicPr>
                  </pic:nvPicPr>
                  <pic:blipFill>
                    <a:blip r:embed="rId10"/>
                    <a:stretch>
                      <a:fillRect/>
                    </a:stretch>
                  </pic:blipFill>
                  <pic:spPr bwMode="auto">
                    <a:xfrm>
                      <a:off x="0" y="0"/>
                      <a:ext cx="5334000" cy="2133600"/>
                    </a:xfrm>
                    <a:prstGeom prst="rect">
                      <a:avLst/>
                    </a:prstGeom>
                    <a:noFill/>
                    <a:ln w="9525">
                      <a:noFill/>
                      <a:headEnd/>
                      <a:tailEnd/>
                    </a:ln>
                  </pic:spPr>
                </pic:pic>
              </a:graphicData>
            </a:graphic>
          </wp:inline>
        </w:drawing>
      </w:r>
    </w:p>
    <w:p w14:paraId="4BFBF657" w14:textId="77777777" w:rsidR="00276073" w:rsidRDefault="0032250D">
      <w:pPr>
        <w:pStyle w:val="BodyText"/>
      </w:pPr>
      <w:r>
        <w:t xml:space="preserve">Figure </w:t>
      </w:r>
      <w:hyperlink w:anchor="fig:truePosBoth">
        <w:r>
          <w:rPr>
            <w:rStyle w:val="Hyperlink"/>
          </w:rPr>
          <w:t>[fig:truePosBoth]</w:t>
        </w:r>
      </w:hyperlink>
      <w:r>
        <w:t xml:space="preserve"> shows a comparison of how well the WZA, the top-candidate method and individual SNP approach performed when looking for the genes underlying </w:t>
      </w:r>
      <w:r>
        <w:lastRenderedPageBreak/>
        <w:t>local adaptation in our simulations. There were notable differences in performance among th</w:t>
      </w:r>
      <w:r>
        <w:t xml:space="preserve">e methods when comparing simulations assuming directional or stabilising selection or comparing the uncorrected Kendall’s </w:t>
      </w:r>
      <m:oMath>
        <m:r>
          <w:rPr>
            <w:rFonts w:ascii="Cambria Math" w:hAnsi="Cambria Math"/>
          </w:rPr>
          <m:t>τ</m:t>
        </m:r>
      </m:oMath>
      <w:r>
        <w:t xml:space="preserve"> approach to </w:t>
      </w:r>
      <w:r>
        <w:rPr>
          <w:i/>
        </w:rPr>
        <w:t>BayPass</w:t>
      </w:r>
      <w:r>
        <w:t xml:space="preserve"> when performing GEA analysis. Under directional selection, the proportion of genes identified using </w:t>
      </w:r>
      <w:r>
        <w:rPr>
          <w:i/>
        </w:rPr>
        <w:t>BayPass</w:t>
      </w:r>
      <w:r>
        <w:t xml:space="preserve"> was</w:t>
      </w:r>
      <w:r>
        <w:t xml:space="preserve"> typically less than when using the uncorrected approach regardless of which method used to perform GEA analysis. In the case of the </w:t>
      </w:r>
      <w:r>
        <w:rPr>
          <w:i/>
        </w:rPr>
        <w:t>Gradient</w:t>
      </w:r>
      <w:r>
        <w:t xml:space="preserve"> map, the top 50 genes contained almost all of the true positives when using the uncorrected </w:t>
      </w:r>
      <w:r>
        <w:rPr>
          <w:i/>
        </w:rPr>
        <w:t>p</w:t>
      </w:r>
      <w:r>
        <w:t>-value approach where</w:t>
      </w:r>
      <w:r>
        <w:t xml:space="preserve">as only around 50% were detected using </w:t>
      </w:r>
      <w:r>
        <w:rPr>
          <w:i/>
        </w:rPr>
        <w:t>BayPass</w:t>
      </w:r>
      <w:r>
        <w:t xml:space="preserve"> (Figure </w:t>
      </w:r>
      <w:hyperlink w:anchor="fig:truePosBoth">
        <w:r>
          <w:rPr>
            <w:rStyle w:val="Hyperlink"/>
          </w:rPr>
          <w:t>[fig:truePosBoth]</w:t>
        </w:r>
      </w:hyperlink>
      <w:r>
        <w:t xml:space="preserve">A). The difference between </w:t>
      </w:r>
      <w:r>
        <w:rPr>
          <w:i/>
        </w:rPr>
        <w:t>BayPass</w:t>
      </w:r>
      <w:r>
        <w:t xml:space="preserve"> </w:t>
      </w:r>
      <w:r>
        <w:t xml:space="preserve">and the uncorrected approach was not as striking when analysing results from </w:t>
      </w:r>
      <w:proofErr w:type="spellStart"/>
      <w:r>
        <w:t>stabilising</w:t>
      </w:r>
      <w:proofErr w:type="spellEnd"/>
      <w:r>
        <w:t xml:space="preserve"> selection (Figure </w:t>
      </w:r>
      <w:hyperlink w:anchor="fig:truePosBoth">
        <w:r>
          <w:rPr>
            <w:rStyle w:val="Hyperlink"/>
          </w:rPr>
          <w:t>[</w:t>
        </w:r>
        <w:proofErr w:type="spellStart"/>
        <w:proofErr w:type="gramStart"/>
        <w:r>
          <w:rPr>
            <w:rStyle w:val="Hyperlink"/>
          </w:rPr>
          <w:t>fig:truePosBoth</w:t>
        </w:r>
        <w:proofErr w:type="spellEnd"/>
        <w:proofErr w:type="gramEnd"/>
        <w:r>
          <w:rPr>
            <w:rStyle w:val="Hyperlink"/>
          </w:rPr>
          <w:t>]</w:t>
        </w:r>
      </w:hyperlink>
      <w:r>
        <w:t>B).</w:t>
      </w:r>
    </w:p>
    <w:p w14:paraId="3FB0D54C" w14:textId="77777777" w:rsidR="00276073" w:rsidRDefault="0032250D">
      <w:pPr>
        <w:pStyle w:val="BodyText"/>
      </w:pPr>
      <w:r>
        <w:br/>
        <w:t>The WZA, the top-candidate method and individual SNP-based method performed similarly in m</w:t>
      </w:r>
      <w:r>
        <w:t xml:space="preserve">ost cases (Figure </w:t>
      </w:r>
      <w:hyperlink w:anchor="fig:truePosBoth">
        <w:r>
          <w:rPr>
            <w:rStyle w:val="Hyperlink"/>
          </w:rPr>
          <w:t>[</w:t>
        </w:r>
        <w:proofErr w:type="gramStart"/>
        <w:r>
          <w:rPr>
            <w:rStyle w:val="Hyperlink"/>
          </w:rPr>
          <w:t>fig:truePosBoth</w:t>
        </w:r>
        <w:proofErr w:type="gramEnd"/>
        <w:r>
          <w:rPr>
            <w:rStyle w:val="Hyperlink"/>
          </w:rPr>
          <w:t>]</w:t>
        </w:r>
      </w:hyperlink>
      <w:r>
        <w:t xml:space="preserve">), but there were notable exceptions. When applying the uncorrected approach to simulations assuming directional selection and the </w:t>
      </w:r>
      <w:r>
        <w:rPr>
          <w:i/>
        </w:rPr>
        <w:t>BC</w:t>
      </w:r>
      <w:r>
        <w:t xml:space="preserve"> and </w:t>
      </w:r>
      <w:r>
        <w:rPr>
          <w:i/>
        </w:rPr>
        <w:t>Truncated</w:t>
      </w:r>
      <w:r>
        <w:t xml:space="preserve"> maps, the WZA identified substantia</w:t>
      </w:r>
      <w:r>
        <w:t xml:space="preserve">lly more true positives than when looking at individual SNPs in isolation when (Figure </w:t>
      </w:r>
      <w:hyperlink w:anchor="fig:truePosBoth">
        <w:r>
          <w:rPr>
            <w:rStyle w:val="Hyperlink"/>
          </w:rPr>
          <w:t>[fig:truePosBoth]</w:t>
        </w:r>
      </w:hyperlink>
      <w:r>
        <w:t>A). On the other hand, the individual SNP-based approach outperformed both the WZA and the too-candidate method wh</w:t>
      </w:r>
      <w:r>
        <w:t xml:space="preserve">en analysing the </w:t>
      </w:r>
      <w:r>
        <w:rPr>
          <w:i/>
        </w:rPr>
        <w:t>Gradient</w:t>
      </w:r>
      <w:r>
        <w:t xml:space="preserve"> map simulations, or when applying </w:t>
      </w:r>
      <w:r>
        <w:rPr>
          <w:i/>
        </w:rPr>
        <w:t>BayPass</w:t>
      </w:r>
      <w:r>
        <w:t xml:space="preserve"> to stabilising selection simulations on the </w:t>
      </w:r>
      <w:r>
        <w:rPr>
          <w:i/>
        </w:rPr>
        <w:t>Truncated</w:t>
      </w:r>
      <w:r>
        <w:t xml:space="preserve"> map (Figure </w:t>
      </w:r>
      <w:hyperlink w:anchor="fig:truePosBoth">
        <w:r>
          <w:rPr>
            <w:rStyle w:val="Hyperlink"/>
          </w:rPr>
          <w:t>[</w:t>
        </w:r>
        <w:proofErr w:type="spellStart"/>
        <w:proofErr w:type="gramStart"/>
        <w:r>
          <w:rPr>
            <w:rStyle w:val="Hyperlink"/>
          </w:rPr>
          <w:t>fig:truePosBoth</w:t>
        </w:r>
        <w:proofErr w:type="spellEnd"/>
        <w:proofErr w:type="gramEnd"/>
        <w:r>
          <w:rPr>
            <w:rStyle w:val="Hyperlink"/>
          </w:rPr>
          <w:t>]</w:t>
        </w:r>
      </w:hyperlink>
      <w:r>
        <w:t>B).</w:t>
      </w:r>
    </w:p>
    <w:p w14:paraId="04922E1B" w14:textId="76FF6ACB" w:rsidR="00276073" w:rsidRDefault="0032250D">
      <w:pPr>
        <w:pStyle w:val="BodyText"/>
        <w:rPr>
          <w:i/>
        </w:rPr>
      </w:pPr>
      <w:r>
        <w:br/>
        <w:t>The GEA analyses that we implemented had high false discovery r</w:t>
      </w:r>
      <w:r>
        <w:t xml:space="preserve">ates (Figure </w:t>
      </w:r>
      <w:hyperlink w:anchor="fig:falseDiscovery">
        <w:r>
          <w:rPr>
            <w:rStyle w:val="Hyperlink"/>
          </w:rPr>
          <w:t>[</w:t>
        </w:r>
        <w:proofErr w:type="gramStart"/>
        <w:r>
          <w:rPr>
            <w:rStyle w:val="Hyperlink"/>
          </w:rPr>
          <w:t>fig:falseDiscovery</w:t>
        </w:r>
        <w:proofErr w:type="gramEnd"/>
        <w:r>
          <w:rPr>
            <w:rStyle w:val="Hyperlink"/>
          </w:rPr>
          <w:t>]</w:t>
        </w:r>
      </w:hyperlink>
      <w:r>
        <w:t>). In most cases, the proportion of true positives identified or proportion of covariance between phenotype and environment explained was less than 1.0 even when looking at the genes</w:t>
      </w:r>
      <w:r>
        <w:t xml:space="preserve"> with the top 50 scores across our simulated genomes(Figure </w:t>
      </w:r>
      <w:hyperlink w:anchor="fig:truePosBoth">
        <w:r>
          <w:rPr>
            <w:rStyle w:val="Hyperlink"/>
          </w:rPr>
          <w:t>[fig:truePosBoth]</w:t>
        </w:r>
      </w:hyperlink>
      <w:r>
        <w:t>). The high false positives are a result of how we chose to analyse the data (</w:t>
      </w:r>
      <w:proofErr w:type="gramStart"/>
      <w:r>
        <w:t>i.e.</w:t>
      </w:r>
      <w:proofErr w:type="gramEnd"/>
      <w:r>
        <w:t xml:space="preserve"> examining the genes with the 50 most extreme test statisti</w:t>
      </w:r>
      <w:r>
        <w:t>cs).</w:t>
      </w:r>
      <w:r>
        <w:br/>
      </w:r>
    </w:p>
    <w:p w14:paraId="56A5742B" w14:textId="1C264E2F" w:rsidR="000B456F" w:rsidRDefault="0032250D">
      <w:pPr>
        <w:pStyle w:val="BodyText"/>
      </w:pPr>
      <w:r>
        <w:rPr>
          <w:i/>
        </w:rPr>
        <w:t xml:space="preserve">I think that we should relegate what is currently Figure 4 to the Supp. Mat and bring Figure S7 (or a version of it) to the main text. I don’t really know what to say about this figure beyond what I’ve written above. So it might make sense to use the </w:t>
      </w:r>
      <w:r>
        <w:rPr>
          <w:i/>
        </w:rPr>
        <w:t>real estate for the power analysis about number of demes sampled.</w:t>
      </w:r>
      <w:r>
        <w:br/>
      </w:r>
    </w:p>
    <w:p w14:paraId="246670A9" w14:textId="77777777" w:rsidR="000B456F" w:rsidRDefault="0032250D">
      <w:pPr>
        <w:pStyle w:val="BodyText"/>
      </w:pPr>
      <w:r>
        <w:rPr>
          <w:noProof/>
        </w:rPr>
        <w:lastRenderedPageBreak/>
        <w:drawing>
          <wp:inline distT="0" distB="0" distL="0" distR="0" wp14:anchorId="413A5278" wp14:editId="757A93BE">
            <wp:extent cx="5334000" cy="2133600"/>
            <wp:effectExtent l="0" t="0" r="0" b="0"/>
            <wp:docPr id="3" name="Picture" descr="image"/>
            <wp:cNvGraphicFramePr/>
            <a:graphic xmlns:a="http://schemas.openxmlformats.org/drawingml/2006/main">
              <a:graphicData uri="http://schemas.openxmlformats.org/drawingml/2006/picture">
                <pic:pic xmlns:pic="http://schemas.openxmlformats.org/drawingml/2006/picture">
                  <pic:nvPicPr>
                    <pic:cNvPr id="0" name="Picture" descr="Plots/UncorrectedBayPassComparison_FalsePositives.pdf"/>
                    <pic:cNvPicPr>
                      <a:picLocks noChangeAspect="1" noChangeArrowheads="1"/>
                    </pic:cNvPicPr>
                  </pic:nvPicPr>
                  <pic:blipFill>
                    <a:blip r:embed="rId11"/>
                    <a:stretch>
                      <a:fillRect/>
                    </a:stretch>
                  </pic:blipFill>
                  <pic:spPr bwMode="auto">
                    <a:xfrm>
                      <a:off x="0" y="0"/>
                      <a:ext cx="5334000" cy="2133600"/>
                    </a:xfrm>
                    <a:prstGeom prst="rect">
                      <a:avLst/>
                    </a:prstGeom>
                    <a:noFill/>
                    <a:ln w="9525">
                      <a:noFill/>
                      <a:headEnd/>
                      <a:tailEnd/>
                    </a:ln>
                  </pic:spPr>
                </pic:pic>
              </a:graphicData>
            </a:graphic>
          </wp:inline>
        </w:drawing>
      </w:r>
    </w:p>
    <w:p w14:paraId="08FCD179" w14:textId="77777777" w:rsidR="000B456F" w:rsidRDefault="0032250D">
      <w:pPr>
        <w:pStyle w:val="Heading2"/>
      </w:pPr>
      <w:bookmarkStart w:id="13" w:name="X759d26fabce573e9e81bbfe7c56837ed6fa5012"/>
      <w:r>
        <w:t>The performance of WZA when GEA results are statistically noisy</w:t>
      </w:r>
      <w:bookmarkEnd w:id="13"/>
    </w:p>
    <w:p w14:paraId="06407162" w14:textId="77777777" w:rsidR="00276073" w:rsidRDefault="0032250D">
      <w:pPr>
        <w:pStyle w:val="FirstParagraph"/>
      </w:pPr>
      <w:r>
        <w:rPr>
          <w:i/>
        </w:rPr>
        <w:t>I’m not 100% happy about these subheadings so if either of you have better ideas please suggest them</w:t>
      </w:r>
      <w:r>
        <w:br/>
        <w:t>The WZA is a method to</w:t>
      </w:r>
      <w:r>
        <w:t xml:space="preserve"> aggregate data across linked sites to identify loci that exhibit a GEA pattern that deviates from the genomic background. The WZA is analogous to combining estimates of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for individual SNPs into analysis windows to identify signals in potentially no</w:t>
      </w:r>
      <w:r>
        <w:t>isy data (Hoban et al. 2016). For that reason, we postulated that the WZA would outperform the individual SNP approach when the underlying GEA was noisy. Here, we focus on three factors that may influence the “noisiness" of a GEA study: 1) When the environ</w:t>
      </w:r>
      <w:r>
        <w:t>mental variable in question is only partially correlated with the true selection pressure, 2) when GEA is applied to a relatively small number of demes and 3) when allele frequency estimates are based on a small number of individuals.</w:t>
      </w:r>
    </w:p>
    <w:p w14:paraId="65FCCCC5" w14:textId="7DF39FA5" w:rsidR="000B456F" w:rsidRDefault="0032250D">
      <w:pPr>
        <w:pStyle w:val="FirstParagraph"/>
      </w:pPr>
      <w:r>
        <w:br/>
        <w:t>Climatic or environme</w:t>
      </w:r>
      <w:r>
        <w:t>ntal variables may not be a perfect reflection of the selection pressures that species face in natural settings. It may be the case that a variable such as mean annual temperature is correlated with historical selection, but that that correlation is not pe</w:t>
      </w:r>
      <w:r>
        <w:t>rfect. Additionally, environmental variables likely include measurement error contributing to an imperfect correlation with the true selection pressure. In the previous section, we conducted GEA assuming perfect knowledge of the phenotypic optima in each s</w:t>
      </w:r>
      <w:r>
        <w:t>ampled deme. Here, we assess the performance of GEA methods when the measured environment (i.e. the ’E’ in GEA) is not perfectly correlated with selection. We sampled data that were correlated with the true phenotypic optima to varying degrees and used the</w:t>
      </w:r>
      <w:r>
        <w:t xml:space="preserve">m to perform GEA on the </w:t>
      </w:r>
      <w:r>
        <w:rPr>
          <w:i/>
        </w:rPr>
        <w:t>BC</w:t>
      </w:r>
      <w:r>
        <w:t xml:space="preserve"> map simulations. We assumed the simulations modelling stabilising selection and, as above, compared the performance of the WZA, top-candidate and the SNP-based GEA methods using </w:t>
      </w:r>
      <w:r>
        <w:rPr>
          <w:i/>
        </w:rPr>
        <w:t>BayPass</w:t>
      </w:r>
      <w:r>
        <w:t xml:space="preserve"> or Kendall’s </w:t>
      </w:r>
      <m:oMath>
        <m:r>
          <w:rPr>
            <w:rFonts w:ascii="Cambria Math" w:hAnsi="Cambria Math"/>
          </w:rPr>
          <m:t>τ</m:t>
        </m:r>
      </m:oMath>
      <w:r>
        <w:t>.</w:t>
      </w:r>
      <w:r>
        <w:br/>
      </w:r>
    </w:p>
    <w:p w14:paraId="2E489C27" w14:textId="77777777" w:rsidR="000B456F" w:rsidRDefault="0032250D">
      <w:pPr>
        <w:pStyle w:val="BodyText"/>
      </w:pPr>
      <w:r>
        <w:rPr>
          <w:noProof/>
        </w:rPr>
        <w:lastRenderedPageBreak/>
        <w:drawing>
          <wp:inline distT="0" distB="0" distL="0" distR="0" wp14:anchorId="7A82CB2B" wp14:editId="06B9273D">
            <wp:extent cx="5334000" cy="2510117"/>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Plots/correlatedEnvironments_BCmapResults.pdf"/>
                    <pic:cNvPicPr>
                      <a:picLocks noChangeAspect="1" noChangeArrowheads="1"/>
                    </pic:cNvPicPr>
                  </pic:nvPicPr>
                  <pic:blipFill>
                    <a:blip r:embed="rId12"/>
                    <a:stretch>
                      <a:fillRect/>
                    </a:stretch>
                  </pic:blipFill>
                  <pic:spPr bwMode="auto">
                    <a:xfrm>
                      <a:off x="0" y="0"/>
                      <a:ext cx="5334000" cy="2510117"/>
                    </a:xfrm>
                    <a:prstGeom prst="rect">
                      <a:avLst/>
                    </a:prstGeom>
                    <a:noFill/>
                    <a:ln w="9525">
                      <a:noFill/>
                      <a:headEnd/>
                      <a:tailEnd/>
                    </a:ln>
                  </pic:spPr>
                </pic:pic>
              </a:graphicData>
            </a:graphic>
          </wp:inline>
        </w:drawing>
      </w:r>
    </w:p>
    <w:p w14:paraId="514CEED5" w14:textId="77777777" w:rsidR="00276073" w:rsidRDefault="0032250D">
      <w:pPr>
        <w:pStyle w:val="BodyText"/>
      </w:pPr>
      <w:r>
        <w:t>We found that the windo</w:t>
      </w:r>
      <w:r>
        <w:t>w-based GEA methods outperformed single SNP approaches when the measured environment was not perfectly correlated with the true selection pressure. As might be expected, when the correlation between the measured environment and selection was very weak (i.e</w:t>
      </w:r>
      <w:r>
        <w:t xml:space="preserve">. a correlation of 0.1), few true positives were present in the top 50 genes with or without population structure correlation and those present explained only a small proportion of Cov(Phen. Env.)(Figure </w:t>
      </w:r>
      <w:hyperlink w:anchor="fig:truePosCorrelated">
        <w:r>
          <w:rPr>
            <w:rStyle w:val="Hyperlink"/>
          </w:rPr>
          <w:t>[fig:tru</w:t>
        </w:r>
        <w:r>
          <w:rPr>
            <w:rStyle w:val="Hyperlink"/>
          </w:rPr>
          <w:t>ePosCorrelated]</w:t>
        </w:r>
      </w:hyperlink>
      <w:r>
        <w:t xml:space="preserve">). With a correlation of 0.3 between the measured environment and true selection, the WZA substantially outperformed both the top-candidate method and single-SNP based approaches using BayPass or Kendall’s </w:t>
      </w:r>
      <m:oMath>
        <m:r>
          <w:rPr>
            <w:rFonts w:ascii="Cambria Math" w:hAnsi="Cambria Math"/>
          </w:rPr>
          <m:t>τ</m:t>
        </m:r>
      </m:oMath>
      <w:r>
        <w:t xml:space="preserve"> (Figure </w:t>
      </w:r>
      <w:hyperlink w:anchor="fig:truePosCorrelated">
        <w:r>
          <w:rPr>
            <w:rStyle w:val="Hyperlink"/>
          </w:rPr>
          <w:t>[fig:truePosCorrelated]</w:t>
        </w:r>
      </w:hyperlink>
      <w:r>
        <w:t>). With a correlation of 0.5 or 0.8 between the measured environment and true selection, there were only small differences in performance between window-based and the single-SNP approaches when using BayPass (Figu</w:t>
      </w:r>
      <w:r>
        <w:t xml:space="preserve">re </w:t>
      </w:r>
      <w:hyperlink w:anchor="fig:truePosCorrelated">
        <w:r>
          <w:rPr>
            <w:rStyle w:val="Hyperlink"/>
          </w:rPr>
          <w:t>[fig:truePosCorrelated]</w:t>
        </w:r>
      </w:hyperlink>
      <w:r>
        <w:t xml:space="preserve">). When using the uncorrected approach, however, the WZA and the top-candidate method outperformed the single-SNP approach (Figure </w:t>
      </w:r>
      <w:hyperlink w:anchor="fig:truePosCorrelated">
        <w:r>
          <w:rPr>
            <w:rStyle w:val="Hyperlink"/>
          </w:rPr>
          <w:t>[</w:t>
        </w:r>
        <w:proofErr w:type="spellStart"/>
        <w:proofErr w:type="gramStart"/>
        <w:r>
          <w:rPr>
            <w:rStyle w:val="Hyperlink"/>
          </w:rPr>
          <w:t>fig:truePo</w:t>
        </w:r>
        <w:r>
          <w:rPr>
            <w:rStyle w:val="Hyperlink"/>
          </w:rPr>
          <w:t>sCorrelated</w:t>
        </w:r>
        <w:proofErr w:type="spellEnd"/>
        <w:proofErr w:type="gramEnd"/>
        <w:r>
          <w:rPr>
            <w:rStyle w:val="Hyperlink"/>
          </w:rPr>
          <w:t>]</w:t>
        </w:r>
      </w:hyperlink>
      <w:r>
        <w:t>).</w:t>
      </w:r>
    </w:p>
    <w:p w14:paraId="526EA81E" w14:textId="77777777" w:rsidR="00276073" w:rsidRDefault="0032250D">
      <w:pPr>
        <w:pStyle w:val="BodyText"/>
      </w:pPr>
      <w:r>
        <w:br/>
        <w:t>Consider a hypothetical world where one had perfect knowledge of allele frequency variation across a species’ range for all sites across the genome. A single marker approach would likely be the best way to perform a GEA analysis, as one woul</w:t>
      </w:r>
      <w:r>
        <w:t xml:space="preserve">d be able to determine the true correlation between genetic and environmental variation for each site in the genome. Indeed, we found that when we had perfect knowledge of allele frequencies, the SNP-based GEA always outperformed the WZA and top-candidate </w:t>
      </w:r>
      <w:r>
        <w:t xml:space="preserve">methods (Figure </w:t>
      </w:r>
      <w:hyperlink w:anchor="fig:sampleSize_demes">
        <w:r>
          <w:rPr>
            <w:rStyle w:val="Hyperlink"/>
          </w:rPr>
          <w:t>[fig:sampleSize_demes]</w:t>
        </w:r>
      </w:hyperlink>
      <w:r>
        <w:t>). However, such a situation is obviously unrealistic and empirical GEA studies will likely always be limited to samples from population of interest.</w:t>
      </w:r>
      <w:r>
        <w:br/>
      </w:r>
      <w:r>
        <w:t>All the results presented so far were obtained using samples of 40 demes from across the simulated metapopulations, with 50 individuals sampled in each location. We re-sampled the simulated populations, and extracted 50 individuals from 20 or 10 demes, the</w:t>
      </w:r>
      <w:r>
        <w:t xml:space="preserve"> configuration of samples is shown in Figure </w:t>
      </w:r>
      <w:hyperlink w:anchor="fig:sampleMaps">
        <w:r>
          <w:rPr>
            <w:rStyle w:val="Hyperlink"/>
          </w:rPr>
          <w:t>9</w:t>
        </w:r>
      </w:hyperlink>
      <w:r>
        <w:t xml:space="preserve">. We compared the performance of the WZA to the top-candidate and SNP-based methods in these smaller datasets using the Kendall’s </w:t>
      </w:r>
      <m:oMath>
        <m:r>
          <w:rPr>
            <w:rFonts w:ascii="Cambria Math" w:hAnsi="Cambria Math"/>
          </w:rPr>
          <m:t>τ</m:t>
        </m:r>
      </m:oMath>
      <w:r>
        <w:t xml:space="preserve"> </w:t>
      </w:r>
      <w:r>
        <w:rPr>
          <w:i/>
        </w:rPr>
        <w:t>p</w:t>
      </w:r>
      <w:r>
        <w:t>-values. As expected, reducing the numb</w:t>
      </w:r>
      <w:r>
        <w:t xml:space="preserve">er of sampled demes from 40 to 20 or 10, reduced the proportion of true positives identified (Figure </w:t>
      </w:r>
      <w:hyperlink w:anchor="fig:sampleSize_demes">
        <w:r>
          <w:rPr>
            <w:rStyle w:val="Hyperlink"/>
          </w:rPr>
          <w:t>[fig:sampleSize_demes]</w:t>
        </w:r>
      </w:hyperlink>
      <w:r>
        <w:t xml:space="preserve">). However, we </w:t>
      </w:r>
      <w:r>
        <w:lastRenderedPageBreak/>
        <w:t xml:space="preserve">found that the WZA outperformed the top-candidate and SNP-based methods in </w:t>
      </w:r>
      <w:r>
        <w:t xml:space="preserve">datasets with 10 or 20 demes for each of the three maps we simulated (Figure </w:t>
      </w:r>
      <w:hyperlink w:anchor="fig:sampleSize_demes">
        <w:r>
          <w:rPr>
            <w:rStyle w:val="Hyperlink"/>
          </w:rPr>
          <w:t>[</w:t>
        </w:r>
        <w:proofErr w:type="spellStart"/>
        <w:proofErr w:type="gramStart"/>
        <w:r>
          <w:rPr>
            <w:rStyle w:val="Hyperlink"/>
          </w:rPr>
          <w:t>fig:sampleSize</w:t>
        </w:r>
        <w:proofErr w:type="gramEnd"/>
        <w:r>
          <w:rPr>
            <w:rStyle w:val="Hyperlink"/>
          </w:rPr>
          <w:t>_demes</w:t>
        </w:r>
        <w:proofErr w:type="spellEnd"/>
        <w:r>
          <w:rPr>
            <w:rStyle w:val="Hyperlink"/>
          </w:rPr>
          <w:t>]</w:t>
        </w:r>
      </w:hyperlink>
      <w:r>
        <w:t>).</w:t>
      </w:r>
    </w:p>
    <w:p w14:paraId="329B3DF0" w14:textId="0F73396C" w:rsidR="000B456F" w:rsidRDefault="0032250D">
      <w:pPr>
        <w:pStyle w:val="BodyText"/>
      </w:pPr>
      <w:r>
        <w:br/>
        <w:t>Finally, we compared the performance of the WZA to the top-candidate and SNP-based methods when fewer than 50 i</w:t>
      </w:r>
      <w:r>
        <w:t xml:space="preserve">ndividuals were sampled in each population. Figure </w:t>
      </w:r>
      <w:hyperlink w:anchor="fig:sampleSize_individuals">
        <w:r>
          <w:rPr>
            <w:rStyle w:val="Hyperlink"/>
          </w:rPr>
          <w:t>[fig:sampleSize_individuals]</w:t>
        </w:r>
      </w:hyperlink>
      <w:r>
        <w:t xml:space="preserve"> shows that the WZA outperforms the top-candidate and SNP-based methods when a small number of individuals is used to estimate a</w:t>
      </w:r>
      <w:r>
        <w:t>llele frequencies. Note that this is not strictly a test of how well pooled-seq will perform with small sample sizes, however. With small numbers of individuals in sequencing pools, differential amounts of DNA from each individual may add to error in allel</w:t>
      </w:r>
      <w:r>
        <w:t>e frequency estimation (Schlötterer et al. 2014).</w:t>
      </w:r>
    </w:p>
    <w:p w14:paraId="08A3FBC1" w14:textId="77777777" w:rsidR="000B456F" w:rsidRDefault="0032250D">
      <w:pPr>
        <w:pStyle w:val="Heading2"/>
      </w:pPr>
      <w:bookmarkStart w:id="14" w:name="X34fc72fe326809e02f38374d92e423129f96adf"/>
      <w:r>
        <w:t>Application of the WZA to data from lodgepole pine</w:t>
      </w:r>
      <w:bookmarkEnd w:id="14"/>
    </w:p>
    <w:p w14:paraId="49B19ED4" w14:textId="77777777" w:rsidR="00276073" w:rsidRDefault="0032250D">
      <w:pPr>
        <w:pStyle w:val="FirstParagraph"/>
      </w:pPr>
      <w:r>
        <w:t>We re-analysed a previously published (Yeaman et al. 2016) lodgepole pine (</w:t>
      </w:r>
      <w:r>
        <w:rPr>
          <w:i/>
        </w:rPr>
        <w:t>Pinus contorta</w:t>
      </w:r>
      <w:r>
        <w:t xml:space="preserve">) dataset comprising 256 populations sampled across North Western </w:t>
      </w:r>
      <w:r>
        <w:t>North America.(Yeaman et al. 2016) performed GEA on their data using numerous environmental variables, but here we only analyse DD0. (Yeaman et al. 2016) phenotyped the lodgepole pine populations they studied for response to injury from freezing temperatur</w:t>
      </w:r>
      <w:r>
        <w:t>es. They found that the cold-injury response phenotype for a population was strongly negatively correlated with the estimated DD0, suggesting that DD0 is correlated with a true local adaptation pressure.</w:t>
      </w:r>
    </w:p>
    <w:p w14:paraId="15FDCD3E" w14:textId="7A347677" w:rsidR="000B456F" w:rsidRDefault="0032250D">
      <w:pPr>
        <w:pStyle w:val="FirstParagraph"/>
      </w:pPr>
      <w:r>
        <w:br/>
        <w:t>We downloaded the data associated with the (Yeaman e</w:t>
      </w:r>
      <w:r>
        <w:t xml:space="preserve">t al. 2016) study, which included tables containing allele frequency and GEA results (Spearman’s </w:t>
      </w:r>
      <m:oMath>
        <m:r>
          <w:rPr>
            <w:rFonts w:ascii="Cambria Math" w:hAnsi="Cambria Math"/>
          </w:rPr>
          <m:t>ρ</m:t>
        </m:r>
      </m:oMath>
      <w:r>
        <w:t xml:space="preserve"> and the associated </w:t>
      </w:r>
      <w:r>
        <w:rPr>
          <w:i/>
        </w:rPr>
        <w:t>p</w:t>
      </w:r>
      <w:r>
        <w:t>-value) for genome-wide SNPs. (Yeaman et al. 2016) applied the top-candidate method to these data. Here, we replicated that analysis but</w:t>
      </w:r>
      <w:r>
        <w:t xml:space="preserve"> also applied the WZA, using genes as the unit of analysis. Unlike our analysis of simulation data, where we divided the genome into analysis windows of a fixed physical size, (Yeaman et al. 2016) analysed gene sequences.</w:t>
      </w:r>
      <w:r>
        <w:br/>
        <w:t xml:space="preserve">Across the lodgepole pine genome, </w:t>
      </w:r>
      <w:r>
        <w:t xml:space="preserve">there was a mean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 of 0.013 with a standard deviation (</w:t>
      </w:r>
      <m:oMath>
        <m:r>
          <w:rPr>
            <w:rFonts w:ascii="Cambria Math" w:hAnsi="Cambria Math"/>
          </w:rPr>
          <m:t>σ</m:t>
        </m:r>
        <m:r>
          <w:rPr>
            <w:rFonts w:ascii="Cambria Math" w:hAnsi="Cambria Math"/>
          </w:rPr>
          <m:t>=1.67</m:t>
        </m:r>
      </m:oMath>
      <w:r>
        <w:t xml:space="preserve">. Additionally,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had a fat right-hand tail (Figure </w:t>
      </w:r>
      <w:hyperlink w:anchor="fig:lodgepoleDescriptives">
        <w:r>
          <w:rPr>
            <w:rStyle w:val="Hyperlink"/>
          </w:rPr>
          <w:t>10</w:t>
        </w:r>
      </w:hyperlink>
      <w:r>
        <w:t xml:space="preserve">B). Figure </w:t>
      </w:r>
      <w:hyperlink w:anchor="fig:lodgepole">
        <w:r>
          <w:rPr>
            <w:rStyle w:val="Hyperlink"/>
          </w:rPr>
          <w:t>2</w:t>
        </w:r>
      </w:hyperlink>
      <w:r>
        <w:t xml:space="preserve">A shows the </w:t>
      </w:r>
      <w:r>
        <w:t xml:space="preserve">relationship between WZA scores and the </w:t>
      </w:r>
      <m:oMath>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values</m:t>
        </m:r>
        <m:r>
          <w:rPr>
            <w:rFonts w:ascii="Cambria Math" w:hAnsi="Cambria Math"/>
          </w:rPr>
          <m:t>)</m:t>
        </m:r>
      </m:oMath>
      <w:r>
        <w:t xml:space="preserve"> from the top-candidate method. The scores from the two tests were positively correlated (Kendall’s </w:t>
      </w:r>
      <m:oMath>
        <m:r>
          <w:rPr>
            <w:rFonts w:ascii="Cambria Math" w:hAnsi="Cambria Math"/>
          </w:rPr>
          <m:t>τ</m:t>
        </m:r>
      </m:oMath>
      <w:r>
        <w:t xml:space="preserve"> = 0.245, </w:t>
      </w:r>
      <w:r>
        <w:rPr>
          <w:i/>
        </w:rPr>
        <w:t>p</w:t>
      </w:r>
      <w:r>
        <w:t xml:space="preserve">-value &lt;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16</m:t>
            </m:r>
          </m:sup>
        </m:sSup>
      </m:oMath>
      <w:r>
        <w:t xml:space="preserve">). There were several genes that had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greater than 1</w:t>
      </w:r>
      <w:r>
        <w:t xml:space="preserve">0 (approximately </w:t>
      </w:r>
      <m:oMath>
        <m:r>
          <w:rPr>
            <w:rFonts w:ascii="Cambria Math" w:hAnsi="Cambria Math"/>
          </w:rPr>
          <m:t>6</m:t>
        </m:r>
        <m:r>
          <w:rPr>
            <w:rFonts w:ascii="Cambria Math" w:hAnsi="Cambria Math"/>
          </w:rPr>
          <m:t>σ</m:t>
        </m:r>
      </m:oMath>
      <w:r>
        <w:t xml:space="preserve">), but very modest top-candidate scores (Figure </w:t>
      </w:r>
      <w:hyperlink w:anchor="fig:lodgepole">
        <w:r>
          <w:rPr>
            <w:rStyle w:val="Hyperlink"/>
          </w:rPr>
          <w:t>2</w:t>
        </w:r>
      </w:hyperlink>
      <w:r>
        <w:t xml:space="preserve">A). Figure </w:t>
      </w:r>
      <w:hyperlink w:anchor="fig:lodgepole">
        <w:r>
          <w:rPr>
            <w:rStyle w:val="Hyperlink"/>
          </w:rPr>
          <w:t>2</w:t>
        </w:r>
      </w:hyperlink>
      <w:r>
        <w:t>B shows that for one such region, there were several SNPs with high mean allele frequency that have sma</w:t>
      </w:r>
      <w:r>
        <w:t xml:space="preserve">ll </w:t>
      </w:r>
      <w:r>
        <w:rPr>
          <w:i/>
        </w:rPr>
        <w:t>p</w:t>
      </w:r>
      <w:r>
        <w:t xml:space="preserve">-values. This particular region had a high </w:t>
      </w:r>
      <w:r>
        <w:rPr>
          <w:i/>
        </w:rPr>
        <w:t>p</w:t>
      </w:r>
      <w:r>
        <w:t xml:space="preserve">-value from the top-candidate method. Conversely, Figure </w:t>
      </w:r>
      <w:hyperlink w:anchor="fig:lodgepole">
        <w:r>
          <w:rPr>
            <w:rStyle w:val="Hyperlink"/>
          </w:rPr>
          <w:t>2</w:t>
        </w:r>
      </w:hyperlink>
      <w:r>
        <w:t xml:space="preserve">C shows a region that only had a </w:t>
      </w:r>
      <m:oMath>
        <m:sSub>
          <m:sSubPr>
            <m:ctrlPr>
              <w:rPr>
                <w:rFonts w:ascii="Cambria Math" w:hAnsi="Cambria Math"/>
              </w:rPr>
            </m:ctrlPr>
          </m:sSubPr>
          <m:e>
            <m:r>
              <w:rPr>
                <w:rFonts w:ascii="Cambria Math" w:hAnsi="Cambria Math"/>
              </w:rPr>
              <m:t>Z</m:t>
            </m:r>
          </m:e>
          <m:sub>
            <m:r>
              <w:rPr>
                <w:rFonts w:ascii="Cambria Math" w:hAnsi="Cambria Math"/>
              </w:rPr>
              <m:t>W</m:t>
            </m:r>
          </m:sub>
        </m:sSub>
        <m:r>
          <w:rPr>
            <w:rFonts w:ascii="Cambria Math" w:hAnsi="Cambria Math"/>
          </w:rPr>
          <m:t>≈5</m:t>
        </m:r>
      </m:oMath>
      <w:r>
        <w:t xml:space="preserve">, but an extremely small </w:t>
      </w:r>
      <w:r>
        <w:rPr>
          <w:i/>
        </w:rPr>
        <w:t>p</w:t>
      </w:r>
      <w:r>
        <w:t>-value from the top-candidate method. In this cas</w:t>
      </w:r>
      <w:r>
        <w:t xml:space="preserve">e, there were numerous SNPs that passed the top-candidate significance threshold, but they were mostly at low allele frequency. Figures </w:t>
      </w:r>
      <w:hyperlink w:anchor="fig:lodgepole">
        <w:r>
          <w:rPr>
            <w:rStyle w:val="Hyperlink"/>
          </w:rPr>
          <w:t>2</w:t>
        </w:r>
      </w:hyperlink>
      <w:r>
        <w:t xml:space="preserve">C-D show the relationship between allele frequency and the empirical </w:t>
      </w:r>
      <w:r>
        <w:rPr>
          <w:i/>
        </w:rPr>
        <w:t>p</w:t>
      </w:r>
      <w:r>
        <w:t>-value for SNPs present in two genes that had extreme scores from both the top-candidate method and the WZA.</w:t>
      </w:r>
    </w:p>
    <w:p w14:paraId="44B78ADB" w14:textId="77777777" w:rsidR="000B456F" w:rsidRDefault="0032250D">
      <w:pPr>
        <w:pStyle w:val="CaptionedFigure"/>
      </w:pPr>
      <w:bookmarkStart w:id="15" w:name="fig:lodgepole"/>
      <w:r>
        <w:rPr>
          <w:noProof/>
        </w:rPr>
        <w:lastRenderedPageBreak/>
        <w:drawing>
          <wp:inline distT="0" distB="0" distL="0" distR="0" wp14:anchorId="0822F0F5" wp14:editId="6C754136">
            <wp:extent cx="2938409" cy="6003533"/>
            <wp:effectExtent l="0" t="0" r="0" b="0"/>
            <wp:docPr id="5" name="Picture" descr="The WZA applied to GEA results Lodgepole Pine for degree days below 0 (DD0). A) Z_w scores compared to scores from the top-candidate method for each of the genes analysed by (Yeaman et al. 2016). Panels B-E show the results for -log_{10}(p-values) for Spearman’s \rho applied to individual SNPs against minor allele frequency (MAF). The dashed horizontal line in B-D indicates the significance threshold used for the top-candidate method (i.e. 99^{th} percentile of GEA -log_{10}(p-values) genome-wide)."/>
            <wp:cNvGraphicFramePr/>
            <a:graphic xmlns:a="http://schemas.openxmlformats.org/drawingml/2006/main">
              <a:graphicData uri="http://schemas.openxmlformats.org/drawingml/2006/picture">
                <pic:pic xmlns:pic="http://schemas.openxmlformats.org/drawingml/2006/picture">
                  <pic:nvPicPr>
                    <pic:cNvPr id="0" name="Picture" descr="../dataAnalsis/Z_v_MAF_DD0.png"/>
                    <pic:cNvPicPr>
                      <a:picLocks noChangeAspect="1" noChangeArrowheads="1"/>
                    </pic:cNvPicPr>
                  </pic:nvPicPr>
                  <pic:blipFill>
                    <a:blip r:embed="rId13"/>
                    <a:stretch>
                      <a:fillRect/>
                    </a:stretch>
                  </pic:blipFill>
                  <pic:spPr bwMode="auto">
                    <a:xfrm>
                      <a:off x="0" y="0"/>
                      <a:ext cx="2957016" cy="6041549"/>
                    </a:xfrm>
                    <a:prstGeom prst="rect">
                      <a:avLst/>
                    </a:prstGeom>
                    <a:noFill/>
                    <a:ln w="9525">
                      <a:noFill/>
                      <a:headEnd/>
                      <a:tailEnd/>
                    </a:ln>
                  </pic:spPr>
                </pic:pic>
              </a:graphicData>
            </a:graphic>
          </wp:inline>
        </w:drawing>
      </w:r>
      <w:bookmarkEnd w:id="15"/>
    </w:p>
    <w:p w14:paraId="5056CA66" w14:textId="77777777" w:rsidR="000B456F" w:rsidRDefault="0032250D">
      <w:pPr>
        <w:pStyle w:val="ImageCaption"/>
      </w:pPr>
      <w:r>
        <w:t xml:space="preserve">The WZA applied to GEA results Lodgepole Pine for degree days below 0 (DD0). A)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compared to scores from the top-candidate method for </w:t>
      </w:r>
      <w:r>
        <w:t xml:space="preserve">each of the genes analysed by (Yeaman et al. 2016). Panels B-E show the results for </w:t>
      </w:r>
      <m:oMath>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oMath>
      <w:r>
        <w:t>(</w:t>
      </w:r>
      <w:r>
        <w:t>p</w:t>
      </w:r>
      <w:r>
        <w:t xml:space="preserve">-values) for Spearman’s </w:t>
      </w:r>
      <m:oMath>
        <m:r>
          <w:rPr>
            <w:rFonts w:ascii="Cambria Math" w:hAnsi="Cambria Math"/>
          </w:rPr>
          <m:t>ρ</m:t>
        </m:r>
      </m:oMath>
      <w:r>
        <w:t xml:space="preserve"> applied to individual SNPs against minor allele frequency (MAF). The dashed horizontal line in B-D indicates the significance threshol</w:t>
      </w:r>
      <w:r>
        <w:t xml:space="preserve">d used for the top-candidate method (i.e. </w:t>
      </w:r>
      <m:oMath>
        <m:sSup>
          <m:sSupPr>
            <m:ctrlPr>
              <w:rPr>
                <w:rFonts w:ascii="Cambria Math" w:hAnsi="Cambria Math"/>
              </w:rPr>
            </m:ctrlPr>
          </m:sSupPr>
          <m:e>
            <m:r>
              <w:rPr>
                <w:rFonts w:ascii="Cambria Math" w:hAnsi="Cambria Math"/>
              </w:rPr>
              <m:t>99</m:t>
            </m:r>
          </m:e>
          <m:sup>
            <m:r>
              <w:rPr>
                <w:rFonts w:ascii="Cambria Math" w:hAnsi="Cambria Math"/>
              </w:rPr>
              <m:t>t</m:t>
            </m:r>
            <m:r>
              <w:rPr>
                <w:rFonts w:ascii="Cambria Math" w:hAnsi="Cambria Math"/>
              </w:rPr>
              <m:t>h</m:t>
            </m:r>
          </m:sup>
        </m:sSup>
      </m:oMath>
      <w:r>
        <w:t xml:space="preserve"> percentile of GEA </w:t>
      </w:r>
      <m:oMath>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oMath>
      <w:r>
        <w:t>(</w:t>
      </w:r>
      <w:r>
        <w:t>p</w:t>
      </w:r>
      <w:r>
        <w:t>-values) genome-wide).</w:t>
      </w:r>
    </w:p>
    <w:p w14:paraId="2C9F98E7" w14:textId="77777777" w:rsidR="000B456F" w:rsidRDefault="0032250D">
      <w:pPr>
        <w:pStyle w:val="Heading1"/>
      </w:pPr>
      <w:bookmarkStart w:id="16" w:name="discussion"/>
      <w:r>
        <w:lastRenderedPageBreak/>
        <w:t>Discussion</w:t>
      </w:r>
      <w:bookmarkEnd w:id="16"/>
    </w:p>
    <w:p w14:paraId="1C4323D5" w14:textId="77777777" w:rsidR="00276073" w:rsidRDefault="0032250D">
      <w:pPr>
        <w:pStyle w:val="FirstParagraph"/>
      </w:pPr>
      <w:r>
        <w:t>In this study, we have shown that combining information across linked sites in GEA analyses is a potentially powerful way to identify genomic loc</w:t>
      </w:r>
      <w:r>
        <w:t>i involved in local adaptation. The method we propose, the WZA, was often more powerful than looking at individual sites in isolation, particularly when working with small samples or when the environmental variation being analysed is only weakly correlated</w:t>
      </w:r>
      <w:r>
        <w:t xml:space="preserve"> with selection. An advantage of the WZA is that it provides a continuous metric that naturally lends itself to comparison among species. For example, one could compare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for a </w:t>
      </w:r>
      <w:proofErr w:type="gramStart"/>
      <w:r>
        <w:t>particular genes</w:t>
      </w:r>
      <w:proofErr w:type="gramEnd"/>
      <w:r>
        <w:t xml:space="preserve"> that were orthologous among distantly related specie</w:t>
      </w:r>
      <w:r>
        <w:t>s as a way to identify convergent evolution.</w:t>
      </w:r>
    </w:p>
    <w:p w14:paraId="47C336B3" w14:textId="27164433" w:rsidR="00276073" w:rsidRDefault="0032250D">
      <w:pPr>
        <w:pStyle w:val="FirstParagraph"/>
      </w:pPr>
      <w:r>
        <w:br/>
        <w:t xml:space="preserve">In many of the cases we examined, the performance of the WZA and the top-candidate method of (Yeaman et al. 2016) were fairly similar (Figure </w:t>
      </w:r>
      <w:hyperlink w:anchor="fig:truePosBoth">
        <w:r>
          <w:rPr>
            <w:rStyle w:val="Hyperlink"/>
          </w:rPr>
          <w:t>[</w:t>
        </w:r>
        <w:proofErr w:type="gramStart"/>
        <w:r>
          <w:rPr>
            <w:rStyle w:val="Hyperlink"/>
          </w:rPr>
          <w:t>fig:truePosBoth</w:t>
        </w:r>
        <w:proofErr w:type="gramEnd"/>
        <w:r>
          <w:rPr>
            <w:rStyle w:val="Hyperlink"/>
          </w:rPr>
          <w:t>]</w:t>
        </w:r>
      </w:hyperlink>
      <w:r>
        <w:t>). However, th</w:t>
      </w:r>
      <w:r>
        <w:t>ere are philosophical reasons as to why the WZA should be preferred over the top-candidate method. First, the top-candidate method assumes that there is a fraction of genetic markers analysed that are tagging causal variants (i.e. that there are true posit</w:t>
      </w:r>
      <w:r>
        <w:t>ives in the dataset). This is undesirable, however, because genuine genotype-environment correlations may be very weak and GEA may simply be an underpowered approach to identify alleles that contribute to local adaptation. If there were no detectable signa</w:t>
      </w:r>
      <w:r>
        <w:t>l of local adaptation, ascribing significance to a fraction of the genome may lead to false positives. Secondly, the top-candidate method gives equal weight to all SNPs that have exceeded a fixed significance threshold. For example, with a significance thr</w:t>
      </w:r>
      <w:r>
        <w:t xml:space="preserve">eshold of </w:t>
      </w:r>
      <m:oMath>
        <m:r>
          <w:rPr>
            <w:rFonts w:ascii="Cambria Math" w:hAnsi="Cambria Math"/>
          </w:rPr>
          <m:t>α</m:t>
        </m:r>
      </m:oMath>
      <w:r>
        <w:t xml:space="preserve"> = 0.01, genomic regions with only a single outlier are treated in the same way whether that outlier has a </w:t>
      </w:r>
      <w:r>
        <w:rPr>
          <w:i/>
        </w:rPr>
        <w:t>p</w:t>
      </w:r>
      <w:r>
        <w:t xml:space="preserve">-value of 0.009 or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10</m:t>
            </m:r>
          </m:sup>
        </m:sSup>
      </m:oMath>
      <w:r>
        <w:t>. It seems desirable to retain information about particularly strong outliers.</w:t>
      </w:r>
    </w:p>
    <w:p w14:paraId="7B8C3FE3" w14:textId="77777777" w:rsidR="00276073" w:rsidRDefault="0032250D">
      <w:pPr>
        <w:pStyle w:val="FirstParagraph"/>
      </w:pPr>
      <w:r>
        <w:br/>
        <w:t>It should be kept in mind that th</w:t>
      </w:r>
      <w:r>
        <w:t>e WZA (and the top-candidate method for that matter) does not explicitly test for local adaptation and only provides an indication of whether a particular genomic region has a pattern that deviates from the genome-wide average. Indeed, numerous processes o</w:t>
      </w:r>
      <w:r>
        <w:t>ther than local adaptation may cause excessive correlation between environmental variables and allele frequencies in particular genomic regions. For example, population expansions can cause allelic surfing, where regions of the genome “surf" to high freque</w:t>
      </w:r>
      <w:r>
        <w:t xml:space="preserve">ncy at leading edge of an expanding population. Allelic surfing can leave a </w:t>
      </w:r>
      <w:proofErr w:type="gramStart"/>
      <w:r>
        <w:t>heterogeneous patterns of variation</w:t>
      </w:r>
      <w:proofErr w:type="gramEnd"/>
      <w:r>
        <w:t xml:space="preserve"> across a species range leaving signals that may resemble local adaptation (Novembre and Di Rienzo 2009; Klopfstein, </w:t>
      </w:r>
      <w:proofErr w:type="spellStart"/>
      <w:r>
        <w:t>Currat</w:t>
      </w:r>
      <w:proofErr w:type="spellEnd"/>
      <w:r>
        <w:t xml:space="preserve">, and </w:t>
      </w:r>
      <w:proofErr w:type="spellStart"/>
      <w:r>
        <w:t>Excoffier</w:t>
      </w:r>
      <w:proofErr w:type="spellEnd"/>
      <w:r>
        <w:t xml:space="preserve"> 2006).</w:t>
      </w:r>
    </w:p>
    <w:p w14:paraId="01510A02" w14:textId="77777777" w:rsidR="00276073" w:rsidRDefault="0032250D">
      <w:pPr>
        <w:pStyle w:val="FirstParagraph"/>
      </w:pPr>
      <w:r>
        <w:br/>
        <w:t xml:space="preserve">As stated above, a feature of the WZA is that a wide range of summary statistics could be used as input. We converted </w:t>
      </w:r>
      <w:r>
        <w:rPr>
          <w:i/>
        </w:rPr>
        <w:t>p</w:t>
      </w:r>
      <w:r>
        <w:t xml:space="preserve">-values from Kendall’s </w:t>
      </w:r>
      <m:oMath>
        <m:r>
          <w:rPr>
            <w:rFonts w:ascii="Cambria Math" w:hAnsi="Cambria Math"/>
          </w:rPr>
          <m:t>τ</m:t>
        </m:r>
      </m:oMath>
      <w:r>
        <w:t xml:space="preserve"> correlation or Bayes factors from </w:t>
      </w:r>
      <w:r>
        <w:rPr>
          <w:i/>
        </w:rPr>
        <w:t>BayPass</w:t>
      </w:r>
      <w:r>
        <w:t xml:space="preserve"> into empirical </w:t>
      </w:r>
      <w:r>
        <w:rPr>
          <w:i/>
        </w:rPr>
        <w:t>p</w:t>
      </w:r>
      <w:r>
        <w:t xml:space="preserve">-values and used these as input to the WZA. The use </w:t>
      </w:r>
      <w:r>
        <w:t xml:space="preserve">of empirical </w:t>
      </w:r>
      <w:r>
        <w:rPr>
          <w:i/>
        </w:rPr>
        <w:t>p</w:t>
      </w:r>
      <w:r>
        <w:t xml:space="preserve">-values to account for genome-wide false positives is not unique to this study, we got the idea from (Hancock et al. 2011) who used empirical </w:t>
      </w:r>
      <w:r>
        <w:rPr>
          <w:i/>
        </w:rPr>
        <w:t>p</w:t>
      </w:r>
      <w:r>
        <w:t xml:space="preserve">-values from GEA results to identify loci involved in climate adaptation in </w:t>
      </w:r>
      <w:r>
        <w:rPr>
          <w:i/>
        </w:rPr>
        <w:t>Arabidopsis thaliana</w:t>
      </w:r>
      <w:r>
        <w:t>. W</w:t>
      </w:r>
      <w:r>
        <w:t xml:space="preserve">hile the empirical </w:t>
      </w:r>
      <w:r>
        <w:rPr>
          <w:i/>
        </w:rPr>
        <w:t>p</w:t>
      </w:r>
      <w:r>
        <w:t xml:space="preserve">-value approach corrects for false positives due to population structure genome-wide, it throws </w:t>
      </w:r>
      <w:r>
        <w:lastRenderedPageBreak/>
        <w:t xml:space="preserve">away the null model for our summary statistic of interest. A GEA approach that produced parametric </w:t>
      </w:r>
      <w:r>
        <w:rPr>
          <w:i/>
        </w:rPr>
        <w:t>p</w:t>
      </w:r>
      <w:r>
        <w:t>-values that was adequately controlled f</w:t>
      </w:r>
      <w:r>
        <w:t>or population structure may provide a more powerful input statistic to the WZA. Alternatively, with the advent of methods for reconstructing ancestral recombination graphs from population genomic data (Hejase, Dukler, and Siepel 2020), perhaps a GEA method</w:t>
      </w:r>
      <w:r>
        <w:t xml:space="preserve"> could be developed that explicitly analyses inferred genealogies rather than individual markers in a manner similar to regression of phenotypes on genealogies proposed by (Ralph, Thornton, and Kelleher 2020). Such a method would require phased genome sequ</w:t>
      </w:r>
      <w:r>
        <w:t>ence data, however, but that may now be feasible given recent technological advances (</w:t>
      </w:r>
      <w:proofErr w:type="spellStart"/>
      <w:r>
        <w:t>HaploTagging</w:t>
      </w:r>
      <w:proofErr w:type="spellEnd"/>
      <w:r>
        <w:t xml:space="preserve"> paper?).</w:t>
      </w:r>
    </w:p>
    <w:p w14:paraId="01B99456" w14:textId="4E7BE019" w:rsidR="000B456F" w:rsidRDefault="0032250D">
      <w:pPr>
        <w:pStyle w:val="FirstParagraph"/>
      </w:pPr>
      <w:r>
        <w:br/>
        <w:t xml:space="preserve">A striking result from our comparison of the SNP-based approach and the WZA was the low power of </w:t>
      </w:r>
      <w:r>
        <w:rPr>
          <w:i/>
        </w:rPr>
        <w:t>BayPass</w:t>
      </w:r>
      <w:r>
        <w:t xml:space="preserve"> compared to the uncorrected </w:t>
      </w:r>
      <w:r>
        <w:rPr>
          <w:i/>
        </w:rPr>
        <w:t>p</w:t>
      </w:r>
      <w:r>
        <w:t>-value approac</w:t>
      </w:r>
      <w:r>
        <w:t xml:space="preserve">h (Figures </w:t>
      </w:r>
      <w:hyperlink w:anchor="fig:truePosBoth">
        <w:r>
          <w:rPr>
            <w:rStyle w:val="Hyperlink"/>
          </w:rPr>
          <w:t>[</w:t>
        </w:r>
        <w:proofErr w:type="gramStart"/>
        <w:r>
          <w:rPr>
            <w:rStyle w:val="Hyperlink"/>
          </w:rPr>
          <w:t>fig:truePosBoth</w:t>
        </w:r>
        <w:proofErr w:type="gramEnd"/>
        <w:r>
          <w:rPr>
            <w:rStyle w:val="Hyperlink"/>
          </w:rPr>
          <w:t>]</w:t>
        </w:r>
      </w:hyperlink>
      <w:r>
        <w:t>,</w:t>
      </w:r>
      <w:hyperlink w:anchor="fig:falseDiscovery">
        <w:r>
          <w:rPr>
            <w:rStyle w:val="Hyperlink"/>
          </w:rPr>
          <w:t>[fig:falseDiscovery]</w:t>
        </w:r>
      </w:hyperlink>
      <w:r>
        <w:t>). As mentioned in the Introduction, (</w:t>
      </w:r>
      <w:r>
        <w:rPr>
          <w:b/>
        </w:rPr>
        <w:t>???</w:t>
      </w:r>
      <w:r>
        <w:t>) obtained a similar result in a previous study. However, our estimates of the false di</w:t>
      </w:r>
      <w:r>
        <w:t xml:space="preserve">scovery rate for </w:t>
      </w:r>
      <w:r>
        <w:rPr>
          <w:i/>
        </w:rPr>
        <w:t>BayPass</w:t>
      </w:r>
      <w:r>
        <w:t xml:space="preserve"> are likely inflated. </w:t>
      </w:r>
      <w:r>
        <w:rPr>
          <w:i/>
        </w:rPr>
        <w:t>BayPass</w:t>
      </w:r>
      <w:r>
        <w:t xml:space="preserve"> return a Bayes factor for each analysed SNP, the log-transformed ratio of the likelihoods under the alternate and null hypotheses. A general rule of thumb for the interpretation of Bayes factors is that</w:t>
      </w:r>
      <w:r>
        <w:t xml:space="preserve"> BFs &gt; 20 are considered strong evidence against the null hypothesis (Jeffrey’s rule). In our analysis, we considered the rank order of all Bayes factors and did not apply Jeffrey’s rule so inflated our estimates of the FDR. Nevertheless, a greater proport</w:t>
      </w:r>
      <w:r>
        <w:t xml:space="preserve">ion of locally adaptive genes were identified using the uncorrected approach as compared to </w:t>
      </w:r>
      <w:r>
        <w:rPr>
          <w:i/>
        </w:rPr>
        <w:t>BayPass</w:t>
      </w:r>
      <w:r>
        <w:t xml:space="preserve"> (Figure </w:t>
      </w:r>
      <w:hyperlink w:anchor="fig:truePosBoth">
        <w:r>
          <w:rPr>
            <w:rStyle w:val="Hyperlink"/>
          </w:rPr>
          <w:t>[fig:truePosBoth]</w:t>
        </w:r>
      </w:hyperlink>
      <w:r>
        <w:t xml:space="preserve">). In other words, using a stringent Bayes factor threshold with </w:t>
      </w:r>
      <w:r>
        <w:rPr>
          <w:i/>
        </w:rPr>
        <w:t>BayPass</w:t>
      </w:r>
      <w:r>
        <w:t xml:space="preserve"> may result in a test</w:t>
      </w:r>
      <w:r>
        <w:t xml:space="preserve"> with low false positive rates, while the WZA may provide a more sensitive test at the cost of specificity.</w:t>
      </w:r>
      <w:r>
        <w:br/>
      </w:r>
    </w:p>
    <w:p w14:paraId="477C667B" w14:textId="77777777" w:rsidR="000B456F" w:rsidRDefault="0032250D">
      <w:pPr>
        <w:pStyle w:val="Heading2"/>
      </w:pPr>
      <w:bookmarkStart w:id="17" w:name="the-width-of-analysis-windows"/>
      <w:r>
        <w:t>The width of analysis windows</w:t>
      </w:r>
      <w:bookmarkEnd w:id="17"/>
    </w:p>
    <w:p w14:paraId="0A746238" w14:textId="77777777" w:rsidR="000B456F" w:rsidRDefault="0032250D">
      <w:pPr>
        <w:pStyle w:val="FirstParagraph"/>
      </w:pPr>
      <w:r>
        <w:t>When performing a genome scan using a windowed approach a question that inevitably arises is, how to to decide on the</w:t>
      </w:r>
      <w:r>
        <w:t xml:space="preserve"> width of analysis windows? In our simulation study, we used analysis windows that were 10,000bp long and within that distance LD had fully decayed to background levels (Figure </w:t>
      </w:r>
      <w:hyperlink w:anchor="fig:summaryStats">
        <w:r>
          <w:rPr>
            <w:rStyle w:val="Hyperlink"/>
          </w:rPr>
          <w:t>3</w:t>
        </w:r>
      </w:hyperlink>
      <w:r>
        <w:t>). LD can be considered as the correlation in coalescence times between pairs of sites (McVean 2002; Wakeley 2007), so high LD is suggestive of highly correlated evolutionary histories. If the width of an analysis window were greater than the average dista</w:t>
      </w:r>
      <w:r>
        <w:t xml:space="preserve">nce over which LD decayed the window would presumably encompass a variety of evolutionary histories, some more correlated than others. Applying the WZA to GEA results in 10,000bp windows in our analysis of simulated data led to a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w:t>
      </w:r>
      <w:r>
        <w:t xml:space="preserve">s that was close to the null expectation of the standard normal distribution, but with a thicker right hand tail (Figure </w:t>
      </w:r>
      <w:hyperlink w:anchor="fig:NeutralHistograms">
        <w:r>
          <w:rPr>
            <w:rStyle w:val="Hyperlink"/>
          </w:rPr>
          <w:t>1</w:t>
        </w:r>
      </w:hyperlink>
      <w:r>
        <w:t>). The deviation from normality presumably arose because some SNPs in the analysis windows</w:t>
      </w:r>
      <w:r>
        <w:t xml:space="preserve"> had highly correlated histories, violating the independence assumption of the weighted-Z test.</w:t>
      </w:r>
    </w:p>
    <w:p w14:paraId="30F8893F" w14:textId="77777777" w:rsidR="00276073" w:rsidRDefault="0032250D">
      <w:pPr>
        <w:pStyle w:val="BodyText"/>
      </w:pPr>
      <w:r>
        <w:t>On the other hand, if analysis windows were narrower than the average distance over which LD decayed most SNPs would presumably have highly correlated evolution</w:t>
      </w:r>
      <w:r>
        <w:t>ary histories. Random drift may cause genealogies in some regions of the genome to correlate with environmental variables more than others. Many of the SNPs present in an analysis window that consisted of genealogies that were highly correlated with the en</w:t>
      </w:r>
      <w:r>
        <w:t xml:space="preserve">vironment </w:t>
      </w:r>
      <w:r>
        <w:lastRenderedPageBreak/>
        <w:t xml:space="preserve">may be highly significant in a GEA analyses, leading to a large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value. This effect would lead to a larger variance in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for analysis windows that were narrower than the average LD decay. We down sampled the tree-sequences we recorded for </w:t>
      </w:r>
      <w:r>
        <w:t xml:space="preserve">our simulated populations to model analysis windows present in low recombination regions and performed the WZA on the resulting data. As expected, we found that the variance of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was greater when there was a lower recombinatio</w:t>
      </w:r>
      <w:r>
        <w:t xml:space="preserve">n rate (Figure </w:t>
      </w:r>
      <w:hyperlink w:anchor="fig:WZA_Recombination">
        <w:r>
          <w:rPr>
            <w:rStyle w:val="Hyperlink"/>
          </w:rPr>
          <w:t>[</w:t>
        </w:r>
        <w:proofErr w:type="spellStart"/>
        <w:proofErr w:type="gramStart"/>
        <w:r>
          <w:rPr>
            <w:rStyle w:val="Hyperlink"/>
          </w:rPr>
          <w:t>fig:WZA</w:t>
        </w:r>
        <w:proofErr w:type="gramEnd"/>
        <w:r>
          <w:rPr>
            <w:rStyle w:val="Hyperlink"/>
          </w:rPr>
          <w:t>_Recombination</w:t>
        </w:r>
        <w:proofErr w:type="spellEnd"/>
        <w:r>
          <w:rPr>
            <w:rStyle w:val="Hyperlink"/>
          </w:rPr>
          <w:t>]</w:t>
        </w:r>
      </w:hyperlink>
      <w:r>
        <w:t>).</w:t>
      </w:r>
    </w:p>
    <w:p w14:paraId="640F87A6" w14:textId="77777777" w:rsidR="00276073" w:rsidRDefault="0032250D">
      <w:pPr>
        <w:pStyle w:val="BodyText"/>
      </w:pPr>
      <w:r>
        <w:br/>
        <w:t>Theoretical studies of local adaptation suggest that we should expect regions of the genome subject to spatially varying selection pressures to exhibit elevated linkage di</w:t>
      </w:r>
      <w:r>
        <w:t>sequilibrium (LD) relative to the genomic background for a number of reasons. Under local adaptation, alleles are subject to positive selection in some parts of a species’s range, but not in others. As a locally adaptive allele spreads in the locations whe</w:t>
      </w:r>
      <w:r>
        <w:t xml:space="preserve">re it is beneficial, it may cause some linked neutral variants to hitchhike along with it (Sakamoto and Innan 2019). Non-beneficial genetic variants introduced to local populations via gene flow may be removed, with a result being a build up of LD between </w:t>
      </w:r>
      <w:r>
        <w:t>selected alleles and linked neutral sites. This process can be thought of as a local barrier to gene flow (Barton and Bengtsson 1986). Beyond this hitchhiking signature, there is a selective advantage for alleles that are involved in local adaptation to cl</w:t>
      </w:r>
      <w:r>
        <w:t xml:space="preserve">uster together, particularly in regions of low recombination (Rieseberg 2001; Noor et al. 2001; Kirkpatrick and Barton 2006; Yeaman 2013). For example, in sunflowers and </w:t>
      </w:r>
      <w:r>
        <w:rPr>
          <w:i/>
        </w:rPr>
        <w:t>Littorina</w:t>
      </w:r>
      <w:r>
        <w:t xml:space="preserve"> marine snails, there is evidence that regions of suppressed recombination ca</w:t>
      </w:r>
      <w:r>
        <w:t>use alleles involved in local adaptation to be inherited together (Morales et al. 2019; Todesco et al. 2020). The processes we have outlined are not mutually exclusive, but overall, genomic regions containing strongly selected alleles that contribute to lo</w:t>
      </w:r>
      <w:r>
        <w:t>cal adaptation may have elevated LD and potentially exhibit GEA signals at multiple linked sites.</w:t>
      </w:r>
    </w:p>
    <w:p w14:paraId="2DE8A72E" w14:textId="49B5F1F1" w:rsidR="000B456F" w:rsidRDefault="0032250D">
      <w:pPr>
        <w:pStyle w:val="BodyText"/>
      </w:pPr>
      <w:r>
        <w:br/>
        <w:t>Window size would ideally be informed by the extent by which LD decays at neutral sites and how much LD is induced by selection. However, the extent of LD ind</w:t>
      </w:r>
      <w:r>
        <w:t>uced by selection is likely a function of the migration rate and the strength of selection which may be difficult to determine. Additionally, recombination rates vary widely among taxa but also within the genome (Stapley et al. 2017). Such variation causes</w:t>
      </w:r>
      <w:r>
        <w:t xml:space="preserve"> LD to decay over greater or shorter distances in different locations across the genome so window size may need to be dynamic with respect to recombination rate variation. Random drift may cause some regions of the genome to correlate with environmental va</w:t>
      </w:r>
      <w:r>
        <w:t xml:space="preserve">riables more than others. If such drift happens in regions of low recombination, multiple linked SNPs may exhibit strong GEA signals. This would lead to a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that had a higher variance in regions of low recombination and generate s</w:t>
      </w:r>
      <w:r>
        <w:t>tatistical artefacts as we outlined in our previous study (Booker, Yeaman, and Whitlock 2020).</w:t>
      </w:r>
    </w:p>
    <w:p w14:paraId="51626953" w14:textId="77777777" w:rsidR="000B456F" w:rsidRDefault="0032250D">
      <w:pPr>
        <w:pStyle w:val="Heading1"/>
      </w:pPr>
      <w:bookmarkStart w:id="18" w:name="acknowledgements"/>
      <w:r>
        <w:t>Acknowledgements</w:t>
      </w:r>
      <w:bookmarkEnd w:id="18"/>
    </w:p>
    <w:p w14:paraId="476F7848" w14:textId="77777777" w:rsidR="000B456F" w:rsidRDefault="0032250D">
      <w:pPr>
        <w:pStyle w:val="FirstParagraph"/>
      </w:pPr>
      <w:r>
        <w:t>Thanks to Pooja Singh for many helpful discussions, to Tongli Wang for help with BC climate data and to Simon Kapitza for help with wrangling ra</w:t>
      </w:r>
      <w:r>
        <w:t xml:space="preserve">ster files. Thanks to Finlay </w:t>
      </w:r>
      <w:r>
        <w:lastRenderedPageBreak/>
        <w:t>Booker for moral support throughout the course of this project. TRB is supported by funding from Genome Canada, Genome Alberta and NSERC Discovery Grants awarded to MCW and SY. SY is supported by an AIHS research chair and NSER</w:t>
      </w:r>
      <w:r>
        <w:t>C Discovery Grant. MCW is supported by an NSERC Discovery Grant. Computational Support was provided by Compute Canada.</w:t>
      </w:r>
      <w:r>
        <w:br/>
      </w:r>
    </w:p>
    <w:p w14:paraId="1A6647E9" w14:textId="77777777" w:rsidR="000B456F" w:rsidRDefault="0032250D">
      <w:pPr>
        <w:pStyle w:val="Heading1"/>
      </w:pPr>
      <w:bookmarkStart w:id="19" w:name="appendix"/>
      <w:r>
        <w:t>Appendix</w:t>
      </w:r>
      <w:bookmarkEnd w:id="19"/>
    </w:p>
    <w:p w14:paraId="60E182BE" w14:textId="77777777" w:rsidR="000B456F" w:rsidRDefault="0032250D">
      <w:pPr>
        <w:pStyle w:val="Heading1"/>
      </w:pPr>
      <w:bookmarkStart w:id="20" w:name="Xf8e57546ac7d515d826edd70575de4460609d67"/>
      <w:r>
        <w:t>Parametrising simulations of local adaptation</w:t>
      </w:r>
      <w:bookmarkEnd w:id="20"/>
    </w:p>
    <w:p w14:paraId="4661AFB4" w14:textId="77777777" w:rsidR="000B456F" w:rsidRDefault="0032250D">
      <w:pPr>
        <w:pStyle w:val="FirstParagraph"/>
      </w:pPr>
      <w:r>
        <w:t>Consider a hypothetical species of conifer inhabiting British Columbia, Canada. T</w:t>
      </w:r>
      <w:r>
        <w:t xml:space="preserve">here may be many hundreds of millions of individuals in this hypothetical species distributed across the landscape. It would be computationally intractable to simulate all individuals forward-in-time incorporating adaptation to environmental heterogeneity </w:t>
      </w:r>
      <w:r>
        <w:t>across the landscape with recombining chromosomes, even with modern population genetic simulators. In our simulations we scaled several population genetic parameters to model a large population when simulating a much smaller one. In the following sections,</w:t>
      </w:r>
      <w:r>
        <w:t xml:space="preserve"> we outline and justify the approach we used to scale pertinent population genetic parameters.</w:t>
      </w:r>
    </w:p>
    <w:p w14:paraId="2C9E6FD2" w14:textId="77777777" w:rsidR="000B456F" w:rsidRDefault="0032250D">
      <w:pPr>
        <w:pStyle w:val="Heading2"/>
      </w:pPr>
      <w:bookmarkStart w:id="21" w:name="mutation-rate"/>
      <w:r>
        <w:t>Mutation rate</w:t>
      </w:r>
      <w:bookmarkEnd w:id="21"/>
    </w:p>
    <w:p w14:paraId="5534A68D" w14:textId="77777777" w:rsidR="000B456F" w:rsidRDefault="0032250D">
      <w:pPr>
        <w:pStyle w:val="FirstParagraph"/>
      </w:pPr>
      <w:r>
        <w:t>We set the neutral mutation rate such that there would be an average of around 20 SNPs in each gene with a minor allele frequency threshold greater</w:t>
      </w:r>
      <w:r>
        <w:t xml:space="preserve"> than 0.05. This number was motivated by the average number of SNPs per gene in the lodgepole pine dataset described by (Yeaman et al. 2016). We found that a neutral mutation rate (</w:t>
      </w:r>
      <m:oMath>
        <m:sSub>
          <m:sSubPr>
            <m:ctrlPr>
              <w:rPr>
                <w:rFonts w:ascii="Cambria Math" w:hAnsi="Cambria Math"/>
              </w:rPr>
            </m:ctrlPr>
          </m:sSubPr>
          <m:e>
            <m:r>
              <w:rPr>
                <w:rFonts w:ascii="Cambria Math" w:hAnsi="Cambria Math"/>
              </w:rPr>
              <m:t>μ</m:t>
            </m:r>
          </m:e>
          <m:sub>
            <m:r>
              <w:rPr>
                <w:rFonts w:ascii="Cambria Math" w:hAnsi="Cambria Math"/>
              </w:rPr>
              <m:t>neu</m:t>
            </m:r>
          </m:sub>
        </m:sSub>
      </m:oMath>
      <w:r>
        <w:t xml:space="preserve">) of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oMath>
      <w:r>
        <w:t xml:space="preserve"> in our simulations achieved an average of 23.3. Note that</w:t>
      </w:r>
      <w:r>
        <w:t xml:space="preserve"> this </w:t>
      </w:r>
      <m:oMath>
        <m:sSub>
          <m:sSubPr>
            <m:ctrlPr>
              <w:rPr>
                <w:rFonts w:ascii="Cambria Math" w:hAnsi="Cambria Math"/>
              </w:rPr>
            </m:ctrlPr>
          </m:sSubPr>
          <m:e>
            <m:r>
              <w:rPr>
                <w:rFonts w:ascii="Cambria Math" w:hAnsi="Cambria Math"/>
              </w:rPr>
              <m:t>μ</m:t>
            </m:r>
          </m:e>
          <m:sub>
            <m:r>
              <w:rPr>
                <w:rFonts w:ascii="Cambria Math" w:hAnsi="Cambria Math"/>
              </w:rPr>
              <m:t>neu</m:t>
            </m:r>
          </m:sub>
        </m:sSub>
      </m:oMath>
      <w:r>
        <w:t xml:space="preserve"> gave a very low population-mutation rate within demes, </w:t>
      </w:r>
      <m:oMath>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d</m:t>
            </m:r>
          </m:sub>
        </m:sSub>
        <m:sSub>
          <m:sSubPr>
            <m:ctrlPr>
              <w:rPr>
                <w:rFonts w:ascii="Cambria Math" w:hAnsi="Cambria Math"/>
              </w:rPr>
            </m:ctrlPr>
          </m:sSubPr>
          <m:e>
            <m:r>
              <w:rPr>
                <w:rFonts w:ascii="Cambria Math" w:hAnsi="Cambria Math"/>
              </w:rPr>
              <m:t>μ</m:t>
            </m:r>
          </m:e>
          <m:sub>
            <m:r>
              <w:rPr>
                <w:rFonts w:ascii="Cambria Math" w:hAnsi="Cambria Math"/>
              </w:rPr>
              <m:t>neu</m:t>
            </m:r>
          </m:sub>
        </m:sSub>
      </m:oMath>
      <w:r>
        <w:t xml:space="preserve"> = </w:t>
      </w:r>
      <m:oMath>
        <m:r>
          <w:rPr>
            <w:rFonts w:ascii="Cambria Math" w:hAnsi="Cambria Math"/>
          </w:rPr>
          <m:t>4.0×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oMath>
      <w:r>
        <w:t>.</w:t>
      </w:r>
    </w:p>
    <w:p w14:paraId="5FE65234" w14:textId="77777777" w:rsidR="000B456F" w:rsidRDefault="0032250D">
      <w:pPr>
        <w:pStyle w:val="BodyText"/>
      </w:pPr>
      <w:r>
        <w:t>There are no estimates available of the mutation rate for locally adaptive alleles. As such, we had no empirical estimates to base our simulations on. Instead, we opted to use mutation rates that resulted in multiple locally beneficial alleles establishing</w:t>
      </w:r>
      <w:r>
        <w:t xml:space="preserve"> in our simulations. For directional selection, we found that a mutation rate of </w:t>
      </w:r>
      <m:oMath>
        <m:sSub>
          <m:sSubPr>
            <m:ctrlPr>
              <w:rPr>
                <w:rFonts w:ascii="Cambria Math" w:hAnsi="Cambria Math"/>
              </w:rPr>
            </m:ctrlPr>
          </m:sSubPr>
          <m:e>
            <m:r>
              <w:rPr>
                <w:rFonts w:ascii="Cambria Math" w:hAnsi="Cambria Math"/>
              </w:rPr>
              <m:t>μ</m:t>
            </m:r>
          </m:e>
          <m:sub>
            <m:r>
              <w:rPr>
                <w:rFonts w:ascii="Cambria Math" w:hAnsi="Cambria Math"/>
              </w:rPr>
              <m:t>alp</m:t>
            </m:r>
            <m:r>
              <w:rPr>
                <w:rFonts w:ascii="Cambria Math" w:hAnsi="Cambria Math"/>
              </w:rPr>
              <m:t>h</m:t>
            </m:r>
            <m:r>
              <w:rPr>
                <w:rFonts w:ascii="Cambria Math" w:hAnsi="Cambria Math"/>
              </w:rPr>
              <m:t>a</m:t>
            </m:r>
          </m:sub>
        </m:sSub>
        <m:r>
          <w:rPr>
            <w:rFonts w:ascii="Cambria Math" w:hAnsi="Cambria Math"/>
          </w:rPr>
          <m:t>=3×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t xml:space="preserve"> resulted in an average of 6.XX locally adaptive genes establishing. For stabilising selection, a mutation rate of </w:t>
      </w:r>
      <m:oMath>
        <m:sSub>
          <m:sSubPr>
            <m:ctrlPr>
              <w:rPr>
                <w:rFonts w:ascii="Cambria Math" w:hAnsi="Cambria Math"/>
              </w:rPr>
            </m:ctrlPr>
          </m:sSubPr>
          <m:e>
            <m:r>
              <w:rPr>
                <w:rFonts w:ascii="Cambria Math" w:hAnsi="Cambria Math"/>
              </w:rPr>
              <m:t>μ</m:t>
            </m:r>
          </m:e>
          <m:sub>
            <m:r>
              <w:rPr>
                <w:rFonts w:ascii="Cambria Math" w:hAnsi="Cambria Math"/>
              </w:rPr>
              <m:t>alp</m:t>
            </m:r>
            <m:r>
              <w:rPr>
                <w:rFonts w:ascii="Cambria Math" w:hAnsi="Cambria Math"/>
              </w:rPr>
              <m:t>h</m:t>
            </m:r>
            <m:r>
              <w:rPr>
                <w:rFonts w:ascii="Cambria Math" w:hAnsi="Cambria Math"/>
              </w:rPr>
              <m:t>a</m:t>
            </m:r>
          </m:sub>
        </m:sSub>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oMath>
      <w:r>
        <w:t>, resulted in similar nu</w:t>
      </w:r>
      <w:r>
        <w:t>mbers of genes establishing. Note that in our model of directional selection, only a single nucleotide in 12 genes could mutate to a locally benficial allele. In the case of stabilising selection, all 1,000bp in the simulated gene could give rise to mutati</w:t>
      </w:r>
      <w:r>
        <w:t>ons that affected phenotype.</w:t>
      </w:r>
    </w:p>
    <w:p w14:paraId="21EC6CB5" w14:textId="77777777" w:rsidR="000B456F" w:rsidRDefault="0032250D">
      <w:pPr>
        <w:pStyle w:val="Heading2"/>
      </w:pPr>
      <w:bookmarkStart w:id="22" w:name="recombination-rates"/>
      <w:r>
        <w:t>Recombination rates</w:t>
      </w:r>
      <w:bookmarkEnd w:id="22"/>
    </w:p>
    <w:p w14:paraId="0613311A" w14:textId="77777777" w:rsidR="000B456F" w:rsidRDefault="0032250D">
      <w:pPr>
        <w:pStyle w:val="FirstParagraph"/>
      </w:pPr>
      <w:r>
        <w:t>We based our choice of recombination rate on patterns of LD decay reported for conifers. The pattern of LD decay in a panmictic population can be predicted by the population scaled recombination parameter (</w:t>
      </w:r>
      <m:oMath>
        <m:r>
          <w:rPr>
            <w:rFonts w:ascii="Cambria Math" w:hAnsi="Cambria Math"/>
          </w:rPr>
          <m:t>ρ</m:t>
        </m:r>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r</m:t>
        </m:r>
      </m:oMath>
      <w:r>
        <w:t xml:space="preserve">; Charlesworth and Charlesworth (2010)), but </w:t>
      </w:r>
      <w:r>
        <w:lastRenderedPageBreak/>
        <w:t xml:space="preserve">the pattern of LD decay in structured populations is less well described. In conifers, LD decays very rapidly in conifers and </w:t>
      </w:r>
      <m:oMath>
        <m:r>
          <w:rPr>
            <w:rFonts w:ascii="Cambria Math" w:hAnsi="Cambria Math"/>
          </w:rPr>
          <m:t>ρ</m:t>
        </m:r>
        <m:r>
          <w:rPr>
            <w:rFonts w:ascii="Cambria Math" w:hAnsi="Cambria Math"/>
          </w:rPr>
          <m:t>≈0.005</m:t>
        </m:r>
      </m:oMath>
      <w:r>
        <w:t xml:space="preserve"> has been estimated (Pavy et al. 2012). However, per basepair recomb</w:t>
      </w:r>
      <w:r>
        <w:t>ination rates (</w:t>
      </w:r>
      <m:oMath>
        <m:r>
          <w:rPr>
            <w:rFonts w:ascii="Cambria Math" w:hAnsi="Cambria Math"/>
          </w:rPr>
          <m:t>r</m:t>
        </m:r>
      </m:oMath>
      <w:r>
        <w:t>) in conifers are extremely low, estimated to be on the order of 0.05 cM/Mbp - more than 10</w:t>
      </w:r>
      <m:oMath>
        <m:r>
          <w:rPr>
            <w:rFonts w:ascii="Cambria Math" w:hAnsi="Cambria Math"/>
          </w:rPr>
          <m:t>×</m:t>
        </m:r>
      </m:oMath>
      <w:r>
        <w:t xml:space="preserve"> lower than the average for humans (Stapley et al. 2017). This implies a very large effective population size of roughly </w:t>
      </w:r>
      <m:oMath>
        <m:f>
          <m:fPr>
            <m:ctrlPr>
              <w:rPr>
                <w:rFonts w:ascii="Cambria Math" w:hAnsi="Cambria Math"/>
              </w:rPr>
            </m:ctrlPr>
          </m:fPr>
          <m:num>
            <m:r>
              <w:rPr>
                <w:rFonts w:ascii="Cambria Math" w:hAnsi="Cambria Math"/>
              </w:rPr>
              <m:t>0.005</m:t>
            </m:r>
          </m:num>
          <m:den>
            <m:r>
              <w:rPr>
                <w:rFonts w:ascii="Cambria Math" w:hAnsi="Cambria Math"/>
              </w:rPr>
              <m:t>4×0.5×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den>
        </m:f>
        <m:r>
          <w:rPr>
            <w:rFonts w:ascii="Cambria Math" w:hAnsi="Cambria Math"/>
          </w:rPr>
          <m:t>=2.5×</m:t>
        </m:r>
        <m:sSup>
          <m:sSupPr>
            <m:ctrlPr>
              <w:rPr>
                <w:rFonts w:ascii="Cambria Math" w:hAnsi="Cambria Math"/>
              </w:rPr>
            </m:ctrlPr>
          </m:sSupPr>
          <m:e>
            <m:r>
              <w:rPr>
                <w:rFonts w:ascii="Cambria Math" w:hAnsi="Cambria Math"/>
              </w:rPr>
              <m:t>10</m:t>
            </m:r>
          </m:e>
          <m:sup>
            <m:r>
              <w:rPr>
                <w:rFonts w:ascii="Cambria Math" w:hAnsi="Cambria Math"/>
              </w:rPr>
              <m:t>6</m:t>
            </m:r>
          </m:sup>
        </m:sSup>
      </m:oMath>
      <w:r>
        <w:t>, m</w:t>
      </w:r>
      <w:r>
        <w:t xml:space="preserve">uch larger than is feasible to simulate. To acheive a similar number of recombination events through time in our simulated populations, we needed to increase </w:t>
      </w:r>
      <m:oMath>
        <m:r>
          <w:rPr>
            <w:rFonts w:ascii="Cambria Math" w:hAnsi="Cambria Math"/>
          </w:rPr>
          <m:t>r</m:t>
        </m:r>
      </m:oMath>
      <w:r>
        <w:t xml:space="preserve"> above what has been empirically estimated. We chose a recombination rate that gave us a pattern</w:t>
      </w:r>
      <w:r>
        <w:t xml:space="preserve"> of LD decay that was similar to what has been observed in conifers. We found that a per base pair recombination </w:t>
      </w:r>
      <m:oMath>
        <m:r>
          <w:rPr>
            <w:rFonts w:ascii="Cambria Math" w:hAnsi="Cambria Math"/>
          </w:rPr>
          <m:t>r</m:t>
        </m:r>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t xml:space="preserve"> (i.e. roughly </w:t>
      </w:r>
      <m:oMath>
        <m:r>
          <w:rPr>
            <w:rFonts w:ascii="Cambria Math" w:hAnsi="Cambria Math"/>
          </w:rPr>
          <m:t>200×</m:t>
        </m:r>
      </m:oMath>
      <w:r>
        <w:t xml:space="preserve"> greater than in natural populations).</w:t>
      </w:r>
    </w:p>
    <w:p w14:paraId="294F61A7" w14:textId="77777777" w:rsidR="000B456F" w:rsidRDefault="0032250D">
      <w:pPr>
        <w:pStyle w:val="Heading2"/>
      </w:pPr>
      <w:bookmarkStart w:id="23" w:name="selection-coefficients"/>
      <w:r>
        <w:t>Selection coefficients</w:t>
      </w:r>
      <w:bookmarkEnd w:id="23"/>
    </w:p>
    <w:p w14:paraId="5255C191" w14:textId="77777777" w:rsidR="00276073" w:rsidRDefault="0032250D">
      <w:pPr>
        <w:pStyle w:val="FirstParagraph"/>
      </w:pPr>
      <w:r>
        <w:t>It is difficult to choose a realistic set of selectio</w:t>
      </w:r>
      <w:r>
        <w:t>n parameters for modelling local adaptation because there are, at present, no estimates of the distribution of fitness effects for mutations that have spatially divergent effects. However, common garden studies of a variety of taxa have estimated fitness d</w:t>
      </w:r>
      <w:r>
        <w:t>ifferences of up between 35-45% between populations grown in home-like conditions versus away-like conditions (Hereford 2009; Bontrager et al. 2020). Motivated by such studies, we chose to parametrise selection using the maximum possible fitness difference</w:t>
      </w:r>
      <w:r>
        <w:t xml:space="preserve"> between home versus away environments.</w:t>
      </w:r>
    </w:p>
    <w:p w14:paraId="656207C7" w14:textId="42D3CC69" w:rsidR="000B456F" w:rsidRDefault="0032250D">
      <w:pPr>
        <w:pStyle w:val="FirstParagraph"/>
      </w:pPr>
      <w:r>
        <w:br/>
        <w:t>When modelling directional selection, our simulations contained 12 loci that could mutate to generate a locally beneficial allele. The phenotypic optima that we simulated ranged from -7 to 7 and we modelled selection</w:t>
      </w:r>
      <w:r>
        <w:t xml:space="preserve"> on a locus as </w:t>
      </w: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θ</m:t>
        </m:r>
      </m:oMath>
      <w:r>
        <w:t xml:space="preserve"> for a homozygote and </w:t>
      </w:r>
      <m:oMath>
        <m:r>
          <w:rPr>
            <w:rFonts w:ascii="Cambria Math" w:hAnsi="Cambria Math"/>
          </w:rPr>
          <m:t>1+</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θ</m:t>
        </m:r>
      </m:oMath>
      <w:r>
        <w:t xml:space="preserve"> for a heterozygote, where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is the selection coefficient, </w:t>
      </w:r>
      <m:oMath>
        <m:r>
          <w:rPr>
            <w:rFonts w:ascii="Cambria Math" w:hAnsi="Cambria Math"/>
          </w:rPr>
          <m:t>θ</m:t>
        </m:r>
      </m:oMath>
      <w:r>
        <w:t xml:space="preserve"> is the phenotypic optimum and </w:t>
      </w:r>
      <m:oMath>
        <m:r>
          <w:rPr>
            <w:rFonts w:ascii="Cambria Math" w:hAnsi="Cambria Math"/>
          </w:rPr>
          <m:t>h</m:t>
        </m:r>
      </m:oMath>
      <w:r>
        <w:t xml:space="preserve"> </w:t>
      </w:r>
      <w:r>
        <w:t xml:space="preserve">is the dominance coefficient. With a selection coefficient of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=0.003</m:t>
        </m:r>
      </m:oMath>
      <w:r>
        <w:t xml:space="preserve">, the maximum relative fitness was </w:t>
      </w:r>
      <m:oMath>
        <m:r>
          <w:rPr>
            <w:rFonts w:ascii="Cambria Math" w:hAnsi="Cambria Math"/>
          </w:rPr>
          <m:t>(1+7×</m:t>
        </m:r>
        <m:sSub>
          <m:sSubPr>
            <m:ctrlPr>
              <w:rPr>
                <w:rFonts w:ascii="Cambria Math" w:hAnsi="Cambria Math"/>
              </w:rPr>
            </m:ctrlPr>
          </m:sSubPr>
          <m:e>
            <m:r>
              <w:rPr>
                <w:rFonts w:ascii="Cambria Math" w:hAnsi="Cambria Math"/>
              </w:rPr>
              <m:t>s</m:t>
            </m:r>
          </m:e>
          <m:sub>
            <m:r>
              <w:rPr>
                <w:rFonts w:ascii="Cambria Math" w:hAnsi="Cambria Math"/>
              </w:rPr>
              <m:t>a</m:t>
            </m:r>
          </m:sub>
        </m:sSub>
        <m:sSup>
          <m:sSupPr>
            <m:ctrlPr>
              <w:rPr>
                <w:rFonts w:ascii="Cambria Math" w:hAnsi="Cambria Math"/>
              </w:rPr>
            </m:ctrlPr>
          </m:sSupPr>
          <m:e>
            <m:r>
              <w:rPr>
                <w:rFonts w:ascii="Cambria Math" w:hAnsi="Cambria Math"/>
              </w:rPr>
              <m:t>)</m:t>
            </m:r>
          </m:e>
          <m:sup>
            <m:r>
              <w:rPr>
                <w:rFonts w:ascii="Cambria Math" w:hAnsi="Cambria Math"/>
              </w:rPr>
              <m:t>12</m:t>
            </m:r>
          </m:sup>
        </m:sSup>
        <m:r>
          <w:rPr>
            <w:rFonts w:ascii="Cambria Math" w:hAnsi="Cambria Math"/>
          </w:rPr>
          <m:t>=1.28</m:t>
        </m:r>
      </m:oMath>
      <w:r>
        <w:t xml:space="preserve"> for an individual homozygous for all locally beneficial alleles. An individual homozygous for those alleles, but in the oppositely </w:t>
      </w:r>
      <w:r>
        <w:t xml:space="preserve">selected environment (i.e. present in the wrong deme) had a fitness of </w:t>
      </w:r>
      <m:oMath>
        <m:r>
          <w:rPr>
            <w:rFonts w:ascii="Cambria Math" w:hAnsi="Cambria Math"/>
          </w:rPr>
          <m:t>(1-7×0.003</m:t>
        </m:r>
        <m:sSup>
          <m:sSupPr>
            <m:ctrlPr>
              <w:rPr>
                <w:rFonts w:ascii="Cambria Math" w:hAnsi="Cambria Math"/>
              </w:rPr>
            </m:ctrlPr>
          </m:sSupPr>
          <m:e>
            <m:r>
              <w:rPr>
                <w:rFonts w:ascii="Cambria Math" w:hAnsi="Cambria Math"/>
              </w:rPr>
              <m:t>)</m:t>
            </m:r>
          </m:e>
          <m:sup>
            <m:r>
              <w:rPr>
                <w:rFonts w:ascii="Cambria Math" w:hAnsi="Cambria Math"/>
              </w:rPr>
              <m:t>12</m:t>
            </m:r>
          </m:sup>
        </m:sSup>
        <m:r>
          <w:rPr>
            <w:rFonts w:ascii="Cambria Math" w:hAnsi="Cambria Math"/>
          </w:rPr>
          <m:t>=0.775</m:t>
        </m:r>
      </m:oMath>
      <w:r>
        <w:t xml:space="preserve">. However, in preliminary simulations, we found that directional selection on locally beneficial alleles with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=0.003</m:t>
        </m:r>
      </m:oMath>
      <w:r>
        <w:t xml:space="preserve"> resulted in such strong patterns of local ada</w:t>
      </w:r>
      <w:r>
        <w:t xml:space="preserve">ptation that all GEA methods identified all adapted loci with ease. We thus chose to reduce the strength of selection in the directional selection simulations to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=0.003</m:t>
        </m:r>
      </m:oMath>
      <w:r>
        <w:t xml:space="preserve">, this resulted in a maximum of 35% difference in fitness between individuals grown </w:t>
      </w:r>
      <w:r>
        <w:t>in home-like conditions versus away-like conditions.</w:t>
      </w:r>
    </w:p>
    <w:p w14:paraId="7CD13B66" w14:textId="77777777" w:rsidR="000B456F" w:rsidRDefault="0032250D">
      <w:pPr>
        <w:pStyle w:val="BodyText"/>
      </w:pPr>
      <w:r>
        <w:t xml:space="preserve">As stated the main text, for stabilising selection simulations we chose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=192</m:t>
        </m:r>
      </m:oMath>
      <w:r>
        <w:t xml:space="preserve"> as this gave a maximum of 50% difference in fitness between individuals grown in home-like conditions versus away-like con</w:t>
      </w:r>
      <w:r>
        <w:t>ditions.</w:t>
      </w:r>
    </w:p>
    <w:p w14:paraId="01E0BDA8" w14:textId="77777777" w:rsidR="000B456F" w:rsidRDefault="0032250D">
      <w:pPr>
        <w:pStyle w:val="Heading2"/>
      </w:pPr>
      <w:bookmarkStart w:id="24" w:name="migration-rate"/>
      <w:r>
        <w:t>Migration rate</w:t>
      </w:r>
      <w:bookmarkEnd w:id="24"/>
    </w:p>
    <w:p w14:paraId="25D8846A" w14:textId="3EEFC752" w:rsidR="000B456F" w:rsidRDefault="0032250D">
      <w:pPr>
        <w:pStyle w:val="FirstParagraph"/>
      </w:pPr>
      <w:r>
        <w:t xml:space="preserve">For the migration rate, we set out to achieve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across the metapopulation of approximately 0.05, as has been reported for widely distributed conifer species such as </w:t>
      </w:r>
      <w:r>
        <w:lastRenderedPageBreak/>
        <w:t>lodgepole pine and interior spruce (Yeaman et al. 2016). For t</w:t>
      </w:r>
      <w:r>
        <w:t xml:space="preserve">he stepping-stone simulations, we chose a migration rate of </w:t>
      </w:r>
      <m:oMath>
        <m:f>
          <m:fPr>
            <m:ctrlPr>
              <w:rPr>
                <w:rFonts w:ascii="Cambria Math" w:hAnsi="Cambria Math"/>
              </w:rPr>
            </m:ctrlPr>
          </m:fPr>
          <m:num>
            <m:r>
              <w:rPr>
                <w:rFonts w:ascii="Cambria Math" w:hAnsi="Cambria Math"/>
              </w:rPr>
              <m:t>7.5</m:t>
            </m:r>
          </m:num>
          <m:den>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den>
        </m:f>
      </m:oMath>
      <w:r>
        <w:t xml:space="preserve"> as we found that this gave a mean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of 0.04. For an island model, we used the analytical formulae given in the main text to set </w:t>
      </w:r>
      <m:oMath>
        <m:r>
          <w:rPr>
            <w:rFonts w:ascii="Cambria Math" w:hAnsi="Cambria Math"/>
          </w:rPr>
          <m:t>m</m:t>
        </m:r>
      </m:oMath>
      <w:r>
        <w:t xml:space="preserve"> to achieve a mean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of 0.03.</w:t>
      </w:r>
    </w:p>
    <w:p w14:paraId="0FBE60FF" w14:textId="77777777" w:rsidR="00276073" w:rsidRPr="00276073" w:rsidRDefault="00276073" w:rsidP="00276073">
      <w:pPr>
        <w:pStyle w:val="BodyText"/>
      </w:pPr>
    </w:p>
    <w:p w14:paraId="7E5C9AB1" w14:textId="77777777" w:rsidR="000B456F" w:rsidRDefault="0032250D">
      <w:pPr>
        <w:pStyle w:val="BodyText"/>
      </w:pPr>
      <w:bookmarkStart w:id="25" w:name="tab:SimulationParameters"/>
      <w:r>
        <w:t>[tab:SimulationPa</w:t>
      </w:r>
      <w:r>
        <w:t>rameters]</w:t>
      </w:r>
      <w:bookmarkEnd w:id="25"/>
    </w:p>
    <w:p w14:paraId="41A77462" w14:textId="77777777" w:rsidR="000B456F" w:rsidRDefault="0032250D">
      <w:pPr>
        <w:pStyle w:val="TableCaption"/>
      </w:pPr>
      <w:r>
        <w:t xml:space="preserve">Population genetic parameters of a hypothetical organism, and how they are scaled in the simulations. The meta-population inhabits a </w:t>
      </w:r>
      <m:oMath>
        <m:r>
          <w:rPr>
            <w:rFonts w:ascii="Cambria Math" w:hAnsi="Cambria Math"/>
          </w:rPr>
          <m:t>14×14</m:t>
        </m:r>
      </m:oMath>
      <w:r>
        <w:t xml:space="preserve"> 2-dimensional stepping stone. Parameters are shown for a population with 12 loci subject to directional sel</w:t>
      </w:r>
      <w:r>
        <w:t>ection.</w:t>
      </w:r>
    </w:p>
    <w:tbl>
      <w:tblPr>
        <w:tblStyle w:val="Table"/>
        <w:tblW w:w="0" w:type="pct"/>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2527"/>
        <w:gridCol w:w="2555"/>
        <w:gridCol w:w="1907"/>
        <w:gridCol w:w="2149"/>
        <w:gridCol w:w="222"/>
      </w:tblGrid>
      <w:tr w:rsidR="000B456F" w14:paraId="1CA6545A" w14:textId="77777777">
        <w:tc>
          <w:tcPr>
            <w:tcW w:w="0" w:type="auto"/>
          </w:tcPr>
          <w:p w14:paraId="5028A5A6" w14:textId="77777777" w:rsidR="000B456F" w:rsidRDefault="0032250D">
            <w:pPr>
              <w:pStyle w:val="Compact"/>
            </w:pPr>
            <w:r>
              <w:rPr>
                <w:b/>
              </w:rPr>
              <w:t>Parameter</w:t>
            </w:r>
          </w:p>
        </w:tc>
        <w:tc>
          <w:tcPr>
            <w:tcW w:w="0" w:type="auto"/>
          </w:tcPr>
          <w:p w14:paraId="4267A72C" w14:textId="77777777" w:rsidR="000B456F" w:rsidRDefault="0032250D">
            <w:pPr>
              <w:pStyle w:val="Compact"/>
              <w:jc w:val="center"/>
            </w:pPr>
            <w:r>
              <w:rPr>
                <w:b/>
              </w:rPr>
              <w:t>Hypothetical Biological Value</w:t>
            </w:r>
          </w:p>
        </w:tc>
        <w:tc>
          <w:tcPr>
            <w:tcW w:w="0" w:type="auto"/>
          </w:tcPr>
          <w:p w14:paraId="1D8522F8" w14:textId="77777777" w:rsidR="000B456F" w:rsidRDefault="0032250D">
            <w:pPr>
              <w:pStyle w:val="Compact"/>
              <w:jc w:val="center"/>
            </w:pPr>
            <w:r>
              <w:rPr>
                <w:b/>
              </w:rPr>
              <w:t>Scaled Parameter</w:t>
            </w:r>
          </w:p>
        </w:tc>
        <w:tc>
          <w:tcPr>
            <w:tcW w:w="0" w:type="auto"/>
          </w:tcPr>
          <w:p w14:paraId="179B51B9" w14:textId="77777777" w:rsidR="000B456F" w:rsidRDefault="0032250D">
            <w:pPr>
              <w:pStyle w:val="Compact"/>
              <w:jc w:val="center"/>
            </w:pPr>
            <w:r>
              <w:rPr>
                <w:b/>
              </w:rPr>
              <w:t>Unscaled (Simulation)</w:t>
            </w:r>
          </w:p>
        </w:tc>
        <w:tc>
          <w:tcPr>
            <w:tcW w:w="0" w:type="auto"/>
          </w:tcPr>
          <w:p w14:paraId="3C9AE094" w14:textId="77777777" w:rsidR="000B456F" w:rsidRDefault="000B456F"/>
        </w:tc>
      </w:tr>
      <w:tr w:rsidR="000B456F" w14:paraId="73F32EAF" w14:textId="77777777">
        <w:tc>
          <w:tcPr>
            <w:tcW w:w="0" w:type="auto"/>
          </w:tcPr>
          <w:p w14:paraId="33FEB838" w14:textId="77777777" w:rsidR="000B456F" w:rsidRDefault="0032250D">
            <w:pPr>
              <w:pStyle w:val="Compact"/>
            </w:pPr>
            <w:r>
              <w:t>Global population size (</w:t>
            </w:r>
            <m:oMath>
              <m:sSub>
                <m:sSubPr>
                  <m:ctrlPr>
                    <w:rPr>
                      <w:rFonts w:ascii="Cambria Math" w:hAnsi="Cambria Math"/>
                    </w:rPr>
                  </m:ctrlPr>
                </m:sSubPr>
                <m:e>
                  <m:r>
                    <w:rPr>
                      <w:rFonts w:ascii="Cambria Math" w:hAnsi="Cambria Math"/>
                    </w:rPr>
                    <m:t>N</m:t>
                  </m:r>
                </m:e>
                <m:sub>
                  <m:r>
                    <w:rPr>
                      <w:rFonts w:ascii="Cambria Math" w:hAnsi="Cambria Math"/>
                    </w:rPr>
                    <m:t>e</m:t>
                  </m:r>
                </m:sub>
              </m:sSub>
            </m:oMath>
            <w:r>
              <w:t>)</w:t>
            </w:r>
          </w:p>
        </w:tc>
        <w:tc>
          <w:tcPr>
            <w:tcW w:w="0" w:type="auto"/>
          </w:tcPr>
          <w:p w14:paraId="4DEE06AC" w14:textId="77777777" w:rsidR="000B456F" w:rsidRDefault="0032250D">
            <w:pPr>
              <w:pStyle w:val="Compact"/>
              <w:jc w:val="center"/>
            </w:pPr>
            <m:oMathPara>
              <m:oMath>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c>
          <w:tcPr>
            <w:tcW w:w="0" w:type="auto"/>
          </w:tcPr>
          <w:p w14:paraId="3F82D584" w14:textId="77777777" w:rsidR="000B456F" w:rsidRDefault="0032250D">
            <w:pPr>
              <w:pStyle w:val="Compact"/>
              <w:jc w:val="center"/>
            </w:pPr>
            <w:r>
              <w:t>-</w:t>
            </w:r>
          </w:p>
        </w:tc>
        <w:tc>
          <w:tcPr>
            <w:tcW w:w="0" w:type="auto"/>
          </w:tcPr>
          <w:p w14:paraId="19460B69" w14:textId="77777777" w:rsidR="000B456F" w:rsidRDefault="0032250D">
            <w:pPr>
              <w:pStyle w:val="Compact"/>
              <w:jc w:val="center"/>
            </w:pPr>
            <w:r>
              <w:t>19,600</w:t>
            </w:r>
          </w:p>
        </w:tc>
        <w:tc>
          <w:tcPr>
            <w:tcW w:w="0" w:type="auto"/>
          </w:tcPr>
          <w:p w14:paraId="2F30888C" w14:textId="77777777" w:rsidR="000B456F" w:rsidRDefault="000B456F"/>
        </w:tc>
      </w:tr>
      <w:tr w:rsidR="000B456F" w14:paraId="6B5CE036" w14:textId="77777777">
        <w:tc>
          <w:tcPr>
            <w:tcW w:w="0" w:type="auto"/>
          </w:tcPr>
          <w:p w14:paraId="5352E8E2" w14:textId="77777777" w:rsidR="000B456F" w:rsidRDefault="0032250D">
            <w:pPr>
              <w:pStyle w:val="Compact"/>
            </w:pPr>
            <w:r>
              <w:t>Number of demes (</w:t>
            </w:r>
            <m:oMath>
              <m:r>
                <w:rPr>
                  <w:rFonts w:ascii="Cambria Math" w:hAnsi="Cambria Math"/>
                </w:rPr>
                <m:t>d</m:t>
              </m:r>
            </m:oMath>
            <w:r>
              <w:t>)</w:t>
            </w:r>
          </w:p>
        </w:tc>
        <w:tc>
          <w:tcPr>
            <w:tcW w:w="0" w:type="auto"/>
          </w:tcPr>
          <w:p w14:paraId="2EBD02F0" w14:textId="77777777" w:rsidR="000B456F" w:rsidRDefault="0032250D">
            <w:pPr>
              <w:pStyle w:val="Compact"/>
              <w:jc w:val="center"/>
            </w:pPr>
            <w:r>
              <w:t>196</w:t>
            </w:r>
          </w:p>
        </w:tc>
        <w:tc>
          <w:tcPr>
            <w:tcW w:w="0" w:type="auto"/>
          </w:tcPr>
          <w:p w14:paraId="24268D0D" w14:textId="77777777" w:rsidR="000B456F" w:rsidRDefault="0032250D">
            <w:pPr>
              <w:pStyle w:val="Compact"/>
              <w:jc w:val="center"/>
            </w:pPr>
            <w:r>
              <w:t>-</w:t>
            </w:r>
          </w:p>
        </w:tc>
        <w:tc>
          <w:tcPr>
            <w:tcW w:w="0" w:type="auto"/>
          </w:tcPr>
          <w:p w14:paraId="75FDF9B8" w14:textId="77777777" w:rsidR="000B456F" w:rsidRDefault="0032250D">
            <w:pPr>
              <w:pStyle w:val="Compact"/>
              <w:jc w:val="center"/>
            </w:pPr>
            <w:r>
              <w:t>196</w:t>
            </w:r>
          </w:p>
        </w:tc>
        <w:tc>
          <w:tcPr>
            <w:tcW w:w="0" w:type="auto"/>
          </w:tcPr>
          <w:p w14:paraId="2B620B6B" w14:textId="77777777" w:rsidR="000B456F" w:rsidRDefault="000B456F"/>
        </w:tc>
      </w:tr>
      <w:tr w:rsidR="000B456F" w14:paraId="5A799EAB" w14:textId="77777777">
        <w:tc>
          <w:tcPr>
            <w:tcW w:w="0" w:type="auto"/>
          </w:tcPr>
          <w:p w14:paraId="65125760" w14:textId="77777777" w:rsidR="000B456F" w:rsidRDefault="0032250D">
            <w:pPr>
              <w:pStyle w:val="Compact"/>
            </w:pPr>
            <w:r>
              <w:t>Local population size (</w:t>
            </w:r>
            <m:oMath>
              <m:sSub>
                <m:sSubPr>
                  <m:ctrlPr>
                    <w:rPr>
                      <w:rFonts w:ascii="Cambria Math" w:hAnsi="Cambria Math"/>
                    </w:rPr>
                  </m:ctrlPr>
                </m:sSubPr>
                <m:e>
                  <m:r>
                    <w:rPr>
                      <w:rFonts w:ascii="Cambria Math" w:hAnsi="Cambria Math"/>
                    </w:rPr>
                    <m:t>N</m:t>
                  </m:r>
                </m:e>
                <m:sub>
                  <m:r>
                    <w:rPr>
                      <w:rFonts w:ascii="Cambria Math" w:hAnsi="Cambria Math"/>
                    </w:rPr>
                    <m:t>d</m:t>
                  </m:r>
                </m:sub>
              </m:sSub>
            </m:oMath>
            <w:r>
              <w:t>)</w:t>
            </w:r>
          </w:p>
        </w:tc>
        <w:tc>
          <w:tcPr>
            <w:tcW w:w="0" w:type="auto"/>
          </w:tcPr>
          <w:p w14:paraId="0BAEDD1D" w14:textId="77777777" w:rsidR="000B456F" w:rsidRDefault="0032250D">
            <w:pPr>
              <w:pStyle w:val="Compact"/>
              <w:jc w:val="center"/>
            </w:pPr>
            <w:r>
              <w:t>5,100</w:t>
            </w:r>
          </w:p>
        </w:tc>
        <w:tc>
          <w:tcPr>
            <w:tcW w:w="0" w:type="auto"/>
          </w:tcPr>
          <w:p w14:paraId="4E654FD7" w14:textId="77777777" w:rsidR="000B456F" w:rsidRDefault="0032250D">
            <w:pPr>
              <w:pStyle w:val="Compact"/>
              <w:jc w:val="center"/>
            </w:pPr>
            <w:r>
              <w:t>-</w:t>
            </w:r>
          </w:p>
        </w:tc>
        <w:tc>
          <w:tcPr>
            <w:tcW w:w="0" w:type="auto"/>
          </w:tcPr>
          <w:p w14:paraId="1FB4CEB0" w14:textId="77777777" w:rsidR="000B456F" w:rsidRDefault="0032250D">
            <w:pPr>
              <w:pStyle w:val="Compact"/>
              <w:jc w:val="center"/>
            </w:pPr>
            <w:r>
              <w:t>100</w:t>
            </w:r>
          </w:p>
        </w:tc>
        <w:tc>
          <w:tcPr>
            <w:tcW w:w="0" w:type="auto"/>
          </w:tcPr>
          <w:p w14:paraId="7669F8C5" w14:textId="77777777" w:rsidR="000B456F" w:rsidRDefault="000B456F"/>
        </w:tc>
      </w:tr>
      <w:tr w:rsidR="000B456F" w14:paraId="529BC53E" w14:textId="77777777">
        <w:tc>
          <w:tcPr>
            <w:tcW w:w="0" w:type="auto"/>
          </w:tcPr>
          <w:p w14:paraId="06C8DEC4" w14:textId="77777777" w:rsidR="000B456F" w:rsidRDefault="0032250D">
            <w:pPr>
              <w:pStyle w:val="Compact"/>
            </w:pPr>
            <w:r>
              <w:t>Recombination rate (</w:t>
            </w:r>
            <w:r>
              <w:rPr>
                <w:i/>
              </w:rPr>
              <w:t>r</w:t>
            </w:r>
            <w:r>
              <w:t>)</w:t>
            </w:r>
          </w:p>
        </w:tc>
        <w:tc>
          <w:tcPr>
            <w:tcW w:w="0" w:type="auto"/>
          </w:tcPr>
          <w:p w14:paraId="6316B41B" w14:textId="77777777" w:rsidR="000B456F" w:rsidRDefault="0032250D">
            <w:pPr>
              <w:pStyle w:val="Compact"/>
              <w:jc w:val="center"/>
            </w:pPr>
            <m:oMathPara>
              <m:oMath>
                <m:r>
                  <w:rPr>
                    <w:rFonts w:ascii="Cambria Math" w:hAnsi="Cambria Math"/>
                  </w:rPr>
                  <m:t>2.00×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9</m:t>
                    </m:r>
                  </m:sup>
                </m:sSup>
              </m:oMath>
            </m:oMathPara>
          </w:p>
        </w:tc>
        <w:tc>
          <w:tcPr>
            <w:tcW w:w="0" w:type="auto"/>
          </w:tcPr>
          <w:p w14:paraId="790864C5" w14:textId="77777777" w:rsidR="000B456F" w:rsidRDefault="0032250D">
            <w:pPr>
              <w:pStyle w:val="Compact"/>
              <w:jc w:val="center"/>
            </w:pPr>
            <m:oMathPara>
              <m:oMath>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Cambria Math"/>
                  </w:rPr>
                  <m:t>r</m:t>
                </m:r>
                <m:r>
                  <w:rPr>
                    <w:rFonts w:ascii="Cambria Math" w:hAnsi="Cambria Math"/>
                  </w:rPr>
                  <m:t>=</m:t>
                </m:r>
                <m:r>
                  <w:rPr>
                    <w:rFonts w:ascii="Cambria Math" w:hAnsi="Cambria Math"/>
                  </w:rPr>
                  <m:t>0.00004</m:t>
                </m:r>
              </m:oMath>
            </m:oMathPara>
          </w:p>
        </w:tc>
        <w:tc>
          <w:tcPr>
            <w:tcW w:w="0" w:type="auto"/>
          </w:tcPr>
          <w:p w14:paraId="520EC829" w14:textId="77777777" w:rsidR="000B456F" w:rsidRDefault="0032250D">
            <w:pPr>
              <w:pStyle w:val="Compact"/>
              <w:jc w:val="center"/>
            </w:pPr>
            <m:oMathPara>
              <m:oMath>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m:oMathPara>
          </w:p>
        </w:tc>
        <w:tc>
          <w:tcPr>
            <w:tcW w:w="0" w:type="auto"/>
          </w:tcPr>
          <w:p w14:paraId="1C21AAA2" w14:textId="77777777" w:rsidR="000B456F" w:rsidRDefault="000B456F"/>
        </w:tc>
      </w:tr>
      <w:tr w:rsidR="000B456F" w14:paraId="4455FED4" w14:textId="77777777">
        <w:tc>
          <w:tcPr>
            <w:tcW w:w="0" w:type="auto"/>
          </w:tcPr>
          <w:p w14:paraId="3CEAC4CC" w14:textId="77777777" w:rsidR="000B456F" w:rsidRDefault="0032250D">
            <w:pPr>
              <w:pStyle w:val="Compact"/>
            </w:pPr>
            <w:r>
              <w:t>Selection coefficient (</w:t>
            </w:r>
            <m:oMath>
              <m:sSub>
                <m:sSubPr>
                  <m:ctrlPr>
                    <w:rPr>
                      <w:rFonts w:ascii="Cambria Math" w:hAnsi="Cambria Math"/>
                    </w:rPr>
                  </m:ctrlPr>
                </m:sSubPr>
                <m:e>
                  <m:r>
                    <w:rPr>
                      <w:rFonts w:ascii="Cambria Math" w:hAnsi="Cambria Math"/>
                    </w:rPr>
                    <m:t>s</m:t>
                  </m:r>
                </m:e>
                <m:sub>
                  <m:r>
                    <w:rPr>
                      <w:rFonts w:ascii="Cambria Math" w:hAnsi="Cambria Math"/>
                    </w:rPr>
                    <m:t>a</m:t>
                  </m:r>
                </m:sub>
              </m:sSub>
            </m:oMath>
            <w:r>
              <w:t>)</w:t>
            </w:r>
          </w:p>
        </w:tc>
        <w:tc>
          <w:tcPr>
            <w:tcW w:w="0" w:type="auto"/>
          </w:tcPr>
          <w:p w14:paraId="158CA7D2" w14:textId="77777777" w:rsidR="000B456F" w:rsidRDefault="0032250D">
            <w:pPr>
              <w:pStyle w:val="Compact"/>
              <w:jc w:val="center"/>
            </w:pPr>
            <w:r>
              <w:t>0.0001</w:t>
            </w:r>
          </w:p>
        </w:tc>
        <w:tc>
          <w:tcPr>
            <w:tcW w:w="0" w:type="auto"/>
          </w:tcPr>
          <w:p w14:paraId="500ED15F" w14:textId="77777777" w:rsidR="000B456F" w:rsidRDefault="0032250D">
            <w:pPr>
              <w:pStyle w:val="Compact"/>
              <w:jc w:val="center"/>
            </w:pPr>
            <m:oMathPara>
              <m:oMath>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=0.6</m:t>
                </m:r>
              </m:oMath>
            </m:oMathPara>
          </w:p>
        </w:tc>
        <w:tc>
          <w:tcPr>
            <w:tcW w:w="0" w:type="auto"/>
          </w:tcPr>
          <w:p w14:paraId="6382F82F" w14:textId="77777777" w:rsidR="000B456F" w:rsidRDefault="0032250D">
            <w:pPr>
              <w:pStyle w:val="Compact"/>
              <w:jc w:val="center"/>
            </w:pPr>
            <w:r>
              <w:t>0.003</w:t>
            </w:r>
          </w:p>
        </w:tc>
        <w:tc>
          <w:tcPr>
            <w:tcW w:w="0" w:type="auto"/>
          </w:tcPr>
          <w:p w14:paraId="327818A3" w14:textId="77777777" w:rsidR="000B456F" w:rsidRDefault="000B456F"/>
        </w:tc>
      </w:tr>
      <w:tr w:rsidR="000B456F" w14:paraId="707C1026" w14:textId="77777777">
        <w:tc>
          <w:tcPr>
            <w:tcW w:w="0" w:type="auto"/>
          </w:tcPr>
          <w:p w14:paraId="321DEE26" w14:textId="77777777" w:rsidR="000B456F" w:rsidRDefault="0032250D">
            <w:pPr>
              <w:pStyle w:val="Compact"/>
            </w:pPr>
            <w:r>
              <w:t>Migration rate (</w:t>
            </w:r>
            <w:r>
              <w:rPr>
                <w:i/>
              </w:rPr>
              <w:t>m</w:t>
            </w:r>
            <w:r>
              <w:t>)</w:t>
            </w:r>
          </w:p>
        </w:tc>
        <w:tc>
          <w:tcPr>
            <w:tcW w:w="0" w:type="auto"/>
          </w:tcPr>
          <w:p w14:paraId="4145E732" w14:textId="77777777" w:rsidR="000B456F" w:rsidRDefault="0032250D">
            <w:pPr>
              <w:pStyle w:val="Compact"/>
              <w:jc w:val="center"/>
            </w:pPr>
            <m:oMathPara>
              <m:oMath>
                <m:r>
                  <w:rPr>
                    <w:rFonts w:ascii="Cambria Math" w:hAnsi="Cambria Math"/>
                  </w:rPr>
                  <m:t>9.80×</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oMath>
            </m:oMathPara>
          </w:p>
        </w:tc>
        <w:tc>
          <w:tcPr>
            <w:tcW w:w="0" w:type="auto"/>
          </w:tcPr>
          <w:p w14:paraId="31C33644" w14:textId="77777777" w:rsidR="000B456F" w:rsidRDefault="0032250D">
            <w:pPr>
              <w:pStyle w:val="Compact"/>
              <w:jc w:val="center"/>
            </w:pPr>
            <m:oMathPara>
              <m:oMath>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Cambria Math"/>
                  </w:rPr>
                  <m:t>m</m:t>
                </m:r>
                <m:r>
                  <w:rPr>
                    <w:rFonts w:ascii="Cambria Math" w:hAnsi="Cambria Math"/>
                  </w:rPr>
                  <m:t>=10</m:t>
                </m:r>
              </m:oMath>
            </m:oMathPara>
          </w:p>
        </w:tc>
        <w:tc>
          <w:tcPr>
            <w:tcW w:w="0" w:type="auto"/>
          </w:tcPr>
          <w:p w14:paraId="2905A506" w14:textId="77777777" w:rsidR="000B456F" w:rsidRDefault="0032250D">
            <w:pPr>
              <w:pStyle w:val="Compact"/>
              <w:jc w:val="center"/>
            </w:pPr>
            <w:r>
              <w:t>0.05</w:t>
            </w:r>
          </w:p>
        </w:tc>
        <w:tc>
          <w:tcPr>
            <w:tcW w:w="0" w:type="auto"/>
          </w:tcPr>
          <w:p w14:paraId="5898943F" w14:textId="77777777" w:rsidR="000B456F" w:rsidRDefault="000B456F"/>
        </w:tc>
      </w:tr>
      <w:tr w:rsidR="000B456F" w14:paraId="7BB4B2DC" w14:textId="77777777">
        <w:tc>
          <w:tcPr>
            <w:tcW w:w="0" w:type="auto"/>
          </w:tcPr>
          <w:p w14:paraId="628464C8" w14:textId="77777777" w:rsidR="000B456F" w:rsidRDefault="0032250D">
            <w:pPr>
              <w:pStyle w:val="Compact"/>
            </w:pPr>
            <w:r>
              <w:t>Neutral mutation rate (</w:t>
            </w:r>
            <m:oMath>
              <m:sSub>
                <m:sSubPr>
                  <m:ctrlPr>
                    <w:rPr>
                      <w:rFonts w:ascii="Cambria Math" w:hAnsi="Cambria Math"/>
                    </w:rPr>
                  </m:ctrlPr>
                </m:sSubPr>
                <m:e>
                  <m:r>
                    <w:rPr>
                      <w:rFonts w:ascii="Cambria Math" w:hAnsi="Cambria Math"/>
                    </w:rPr>
                    <m:t>μ</m:t>
                  </m:r>
                </m:e>
                <m:sub>
                  <m:r>
                    <w:rPr>
                      <w:rFonts w:ascii="Cambria Math" w:hAnsi="Cambria Math"/>
                    </w:rPr>
                    <m:t>neu</m:t>
                  </m:r>
                </m:sub>
              </m:sSub>
            </m:oMath>
            <w:r>
              <w:t>)</w:t>
            </w:r>
          </w:p>
        </w:tc>
        <w:tc>
          <w:tcPr>
            <w:tcW w:w="0" w:type="auto"/>
          </w:tcPr>
          <w:p w14:paraId="0C1B4AEA" w14:textId="77777777" w:rsidR="000B456F" w:rsidRDefault="0032250D">
            <w:pPr>
              <w:pStyle w:val="Compact"/>
              <w:jc w:val="center"/>
            </w:pPr>
            <m:oMathPara>
              <m:oMath>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10</m:t>
                    </m:r>
                  </m:sup>
                </m:sSup>
              </m:oMath>
            </m:oMathPara>
          </w:p>
        </w:tc>
        <w:tc>
          <w:tcPr>
            <w:tcW w:w="0" w:type="auto"/>
          </w:tcPr>
          <w:p w14:paraId="0E15A8F6" w14:textId="77777777" w:rsidR="000B456F" w:rsidRDefault="0032250D">
            <w:pPr>
              <w:pStyle w:val="Compact"/>
              <w:jc w:val="center"/>
            </w:pPr>
            <m:oMathPara>
              <m:oMath>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e</m:t>
                    </m:r>
                  </m:sub>
                </m:sSub>
                <m:sSub>
                  <m:sSubPr>
                    <m:ctrlPr>
                      <w:rPr>
                        <w:rFonts w:ascii="Cambria Math" w:hAnsi="Cambria Math"/>
                      </w:rPr>
                    </m:ctrlPr>
                  </m:sSubPr>
                  <m:e>
                    <m:r>
                      <w:rPr>
                        <w:rFonts w:ascii="Cambria Math" w:hAnsi="Cambria Math"/>
                      </w:rPr>
                      <m:t>μ</m:t>
                    </m:r>
                  </m:e>
                  <m:sub>
                    <m:r>
                      <w:rPr>
                        <w:rFonts w:ascii="Cambria Math" w:hAnsi="Cambria Math"/>
                      </w:rPr>
                      <m:t>neu</m:t>
                    </m:r>
                  </m:sub>
                </m:sSub>
                <m:r>
                  <w:rPr>
                    <w:rFonts w:ascii="Cambria Math" w:hAnsi="Cambria Math"/>
                  </w:rPr>
                  <m:t>=0.000004</m:t>
                </m:r>
              </m:oMath>
            </m:oMathPara>
          </w:p>
        </w:tc>
        <w:tc>
          <w:tcPr>
            <w:tcW w:w="0" w:type="auto"/>
          </w:tcPr>
          <w:p w14:paraId="6FFF9073" w14:textId="77777777" w:rsidR="000B456F" w:rsidRDefault="0032250D">
            <w:pPr>
              <w:pStyle w:val="Compact"/>
              <w:jc w:val="center"/>
            </w:pPr>
            <m:oMathPara>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oMath>
            </m:oMathPara>
          </w:p>
        </w:tc>
        <w:tc>
          <w:tcPr>
            <w:tcW w:w="0" w:type="auto"/>
          </w:tcPr>
          <w:p w14:paraId="3A5576A0" w14:textId="77777777" w:rsidR="000B456F" w:rsidRDefault="000B456F"/>
        </w:tc>
      </w:tr>
      <w:tr w:rsidR="000B456F" w14:paraId="2C9EC9F6" w14:textId="77777777">
        <w:tc>
          <w:tcPr>
            <w:tcW w:w="0" w:type="auto"/>
          </w:tcPr>
          <w:p w14:paraId="5E3EA0D9" w14:textId="77777777" w:rsidR="000B456F" w:rsidRDefault="0032250D">
            <w:pPr>
              <w:pStyle w:val="Compact"/>
            </w:pPr>
            <w:r>
              <w:t>Functional mutation rate (</w:t>
            </w:r>
            <m:oMath>
              <m:sSub>
                <m:sSubPr>
                  <m:ctrlPr>
                    <w:rPr>
                      <w:rFonts w:ascii="Cambria Math" w:hAnsi="Cambria Math"/>
                    </w:rPr>
                  </m:ctrlPr>
                </m:sSubPr>
                <m:e>
                  <m:r>
                    <w:rPr>
                      <w:rFonts w:ascii="Cambria Math" w:hAnsi="Cambria Math"/>
                    </w:rPr>
                    <m:t>μ</m:t>
                  </m:r>
                </m:e>
                <m:sub>
                  <m:r>
                    <w:rPr>
                      <w:rFonts w:ascii="Cambria Math" w:hAnsi="Cambria Math"/>
                    </w:rPr>
                    <m:t>α</m:t>
                  </m:r>
                </m:sub>
              </m:sSub>
            </m:oMath>
            <w:r>
              <w:t>)</w:t>
            </w:r>
          </w:p>
        </w:tc>
        <w:tc>
          <w:tcPr>
            <w:tcW w:w="0" w:type="auto"/>
          </w:tcPr>
          <w:p w14:paraId="23AD99A6" w14:textId="77777777" w:rsidR="000B456F" w:rsidRDefault="0032250D">
            <w:pPr>
              <w:pStyle w:val="Compact"/>
              <w:jc w:val="center"/>
            </w:pPr>
            <m:oMathPara>
              <m:oMath>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9</m:t>
                    </m:r>
                  </m:sup>
                </m:sSup>
              </m:oMath>
            </m:oMathPara>
          </w:p>
        </w:tc>
        <w:tc>
          <w:tcPr>
            <w:tcW w:w="0" w:type="auto"/>
          </w:tcPr>
          <w:p w14:paraId="55EC2F99" w14:textId="77777777" w:rsidR="000B456F" w:rsidRDefault="0032250D">
            <w:pPr>
              <w:pStyle w:val="Compact"/>
              <w:jc w:val="center"/>
            </w:pPr>
            <m:oMathPara>
              <m:oMath>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e</m:t>
                    </m:r>
                  </m:sub>
                </m:sSub>
                <m:sSub>
                  <m:sSubPr>
                    <m:ctrlPr>
                      <w:rPr>
                        <w:rFonts w:ascii="Cambria Math" w:hAnsi="Cambria Math"/>
                      </w:rPr>
                    </m:ctrlPr>
                  </m:sSubPr>
                  <m:e>
                    <m:r>
                      <w:rPr>
                        <w:rFonts w:ascii="Cambria Math" w:hAnsi="Cambria Math"/>
                      </w:rPr>
                      <m:t>μ</m:t>
                    </m:r>
                  </m:e>
                  <m:sub>
                    <m:r>
                      <w:rPr>
                        <w:rFonts w:ascii="Cambria Math" w:hAnsi="Cambria Math"/>
                      </w:rPr>
                      <m:t>α</m:t>
                    </m:r>
                  </m:sub>
                </m:sSub>
                <m:r>
                  <w:rPr>
                    <w:rFonts w:ascii="Cambria Math" w:hAnsi="Cambria Math"/>
                  </w:rPr>
                  <m:t>=0.00004</m:t>
                </m:r>
              </m:oMath>
            </m:oMathPara>
          </w:p>
        </w:tc>
        <w:tc>
          <w:tcPr>
            <w:tcW w:w="0" w:type="auto"/>
          </w:tcPr>
          <w:p w14:paraId="60EAE68F" w14:textId="77777777" w:rsidR="000B456F" w:rsidRDefault="0032250D">
            <w:pPr>
              <w:pStyle w:val="Compact"/>
              <w:jc w:val="center"/>
            </w:pPr>
            <m:oMathPara>
              <m:oMath>
                <m:r>
                  <w:rPr>
                    <w:rFonts w:ascii="Cambria Math" w:hAnsi="Cambria Math"/>
                  </w:rPr>
                  <m:t>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m:oMathPara>
          </w:p>
        </w:tc>
        <w:tc>
          <w:tcPr>
            <w:tcW w:w="0" w:type="auto"/>
          </w:tcPr>
          <w:p w14:paraId="2E9BDDF5" w14:textId="77777777" w:rsidR="000B456F" w:rsidRDefault="000B456F"/>
        </w:tc>
      </w:tr>
      <w:tr w:rsidR="000B456F" w14:paraId="785EAD97" w14:textId="77777777">
        <w:tc>
          <w:tcPr>
            <w:tcW w:w="0" w:type="auto"/>
          </w:tcPr>
          <w:p w14:paraId="62B6A08E" w14:textId="77777777" w:rsidR="000B456F" w:rsidRDefault="000B456F"/>
        </w:tc>
        <w:tc>
          <w:tcPr>
            <w:tcW w:w="0" w:type="auto"/>
          </w:tcPr>
          <w:p w14:paraId="133A5EA6" w14:textId="77777777" w:rsidR="000B456F" w:rsidRDefault="000B456F"/>
        </w:tc>
        <w:tc>
          <w:tcPr>
            <w:tcW w:w="0" w:type="auto"/>
          </w:tcPr>
          <w:p w14:paraId="414DD1D5" w14:textId="77777777" w:rsidR="000B456F" w:rsidRDefault="000B456F"/>
        </w:tc>
        <w:tc>
          <w:tcPr>
            <w:tcW w:w="0" w:type="auto"/>
          </w:tcPr>
          <w:p w14:paraId="6177B5D0" w14:textId="77777777" w:rsidR="000B456F" w:rsidRDefault="000B456F"/>
        </w:tc>
        <w:tc>
          <w:tcPr>
            <w:tcW w:w="0" w:type="auto"/>
          </w:tcPr>
          <w:p w14:paraId="4886D9CF" w14:textId="77777777" w:rsidR="000B456F" w:rsidRDefault="000B456F"/>
        </w:tc>
      </w:tr>
    </w:tbl>
    <w:p w14:paraId="6336806D" w14:textId="77777777" w:rsidR="000B456F" w:rsidRDefault="0032250D">
      <w:pPr>
        <w:pStyle w:val="CaptionedFigure"/>
      </w:pPr>
      <w:bookmarkStart w:id="26" w:name="fig:summaryStats"/>
      <w:r>
        <w:rPr>
          <w:noProof/>
        </w:rPr>
        <w:lastRenderedPageBreak/>
        <w:drawing>
          <wp:inline distT="0" distB="0" distL="0" distR="0" wp14:anchorId="0FF757A9" wp14:editId="1EEAB0EF">
            <wp:extent cx="5334000" cy="3333750"/>
            <wp:effectExtent l="0" t="0" r="0" b="0"/>
            <wp:docPr id="6" name="Picture" descr="Summary statistics from neutral simulations. A) shows the F_{ST} between pairs of demes in stepping-stone populations, the average across replicates is . B) shows LOESS smoothed LD, as measured by r^2, between pairs of SNPs, each line corresponds to a single simulation replicate. Smoothing was performed using the ggplot2 package in R."/>
            <wp:cNvGraphicFramePr/>
            <a:graphic xmlns:a="http://schemas.openxmlformats.org/drawingml/2006/main">
              <a:graphicData uri="http://schemas.openxmlformats.org/drawingml/2006/picture">
                <pic:pic xmlns:pic="http://schemas.openxmlformats.org/drawingml/2006/picture">
                  <pic:nvPicPr>
                    <pic:cNvPr id="0" name="Picture" descr="../SimulationStudy/directionalSelection/SummaryStats.png"/>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bookmarkEnd w:id="26"/>
    </w:p>
    <w:p w14:paraId="3CE9B821" w14:textId="77777777" w:rsidR="000B456F" w:rsidRDefault="0032250D">
      <w:pPr>
        <w:pStyle w:val="ImageCaption"/>
      </w:pPr>
      <w:r>
        <w:t xml:space="preserve">Summary statistics from neutral simulations. A) shows the </w:t>
      </w:r>
      <m:oMath>
        <m:sSub>
          <m:sSubPr>
            <m:ctrlPr>
              <w:rPr>
                <w:rFonts w:ascii="Cambria Math" w:hAnsi="Cambria Math"/>
              </w:rPr>
            </m:ctrlPr>
          </m:sSubPr>
          <m:e>
            <m:r>
              <w:rPr>
                <w:rFonts w:ascii="Cambria Math" w:hAnsi="Cambria Math"/>
              </w:rPr>
              <m:t>F</m:t>
            </m:r>
          </m:e>
          <m:sub>
            <m:r>
              <w:rPr>
                <w:rFonts w:ascii="Cambria Math" w:hAnsi="Cambria Math"/>
              </w:rPr>
              <m:t>ST</m:t>
            </m:r>
          </m:sub>
        </m:sSub>
      </m:oMath>
      <w:r>
        <w:t xml:space="preserve"> </w:t>
      </w:r>
      <w:r>
        <w:t xml:space="preserve">between pairs of demes in stepping-stone populations, the average across replicates is . B) shows LOESS smoothed LD, as measured by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pairs of SNPs, each line corresponds to a single simulation replicate. Smoothing was performed using the </w:t>
      </w:r>
      <w:r>
        <w:t>ggplot</w:t>
      </w:r>
      <w:r>
        <w:t>2</w:t>
      </w:r>
      <w:r>
        <w:t xml:space="preserve"> package in R.</w:t>
      </w:r>
    </w:p>
    <w:p w14:paraId="6D499E5B" w14:textId="77777777" w:rsidR="000B456F" w:rsidRDefault="0032250D">
      <w:pPr>
        <w:pStyle w:val="CaptionedFigure"/>
      </w:pPr>
      <w:bookmarkStart w:id="27" w:name="fig:localAdaptationPhenotypes"/>
      <w:r>
        <w:rPr>
          <w:noProof/>
        </w:rPr>
        <w:drawing>
          <wp:inline distT="0" distB="0" distL="0" distR="0" wp14:anchorId="2C927FB1" wp14:editId="0B396BFE">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15"/>
                    <a:stretch>
                      <a:fillRect/>
                    </a:stretch>
                  </pic:blipFill>
                  <pic:spPr bwMode="auto">
                    <a:xfrm>
                      <a:off x="0" y="0"/>
                      <a:ext cx="5334000" cy="3200399"/>
                    </a:xfrm>
                    <a:prstGeom prst="rect">
                      <a:avLst/>
                    </a:prstGeom>
                    <a:noFill/>
                    <a:ln w="9525">
                      <a:noFill/>
                      <a:headEnd/>
                      <a:tailEnd/>
                    </a:ln>
                  </pic:spPr>
                </pic:pic>
              </a:graphicData>
            </a:graphic>
          </wp:inline>
        </w:drawing>
      </w:r>
      <w:bookmarkEnd w:id="27"/>
    </w:p>
    <w:p w14:paraId="3C4CF721" w14:textId="77777777" w:rsidR="000B456F" w:rsidRDefault="0032250D">
      <w:pPr>
        <w:pStyle w:val="ImageCaption"/>
      </w:pPr>
      <w:r>
        <w:t>Individual and population mean phenotypes observed in representative simulations for each of the environment maps simulated. A small amount of horizontal jitter was added to points for visualisation purposes.</w:t>
      </w:r>
    </w:p>
    <w:p w14:paraId="6FB18062" w14:textId="77777777" w:rsidR="000B456F" w:rsidRDefault="0032250D">
      <w:pPr>
        <w:pStyle w:val="CaptionedFigure"/>
      </w:pPr>
      <w:bookmarkStart w:id="28" w:name="fig:effectSizeDistribution"/>
      <w:r>
        <w:rPr>
          <w:noProof/>
        </w:rPr>
        <w:lastRenderedPageBreak/>
        <w:drawing>
          <wp:inline distT="0" distB="0" distL="0" distR="0" wp14:anchorId="34F095B6" wp14:editId="0CAC47EE">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16"/>
                    <a:stretch>
                      <a:fillRect/>
                    </a:stretch>
                  </pic:blipFill>
                  <pic:spPr bwMode="auto">
                    <a:xfrm>
                      <a:off x="0" y="0"/>
                      <a:ext cx="5334000" cy="2222500"/>
                    </a:xfrm>
                    <a:prstGeom prst="rect">
                      <a:avLst/>
                    </a:prstGeom>
                    <a:noFill/>
                    <a:ln w="9525">
                      <a:noFill/>
                      <a:headEnd/>
                      <a:tailEnd/>
                    </a:ln>
                  </pic:spPr>
                </pic:pic>
              </a:graphicData>
            </a:graphic>
          </wp:inline>
        </w:drawing>
      </w:r>
      <w:bookmarkEnd w:id="28"/>
    </w:p>
    <w:p w14:paraId="07970FD0" w14:textId="77777777" w:rsidR="000B456F" w:rsidRDefault="0032250D">
      <w:pPr>
        <w:pStyle w:val="ImageCaption"/>
      </w:pPr>
      <w:r>
        <w:t>The effect size distributio</w:t>
      </w:r>
      <w:r>
        <w:t>n from simulations of local adaptation. The vertical line indicates Cov = 0.005, the threshold we used to determine whether a gene was considered as important for local adaptation.</w:t>
      </w:r>
    </w:p>
    <w:p w14:paraId="49465ABB" w14:textId="77777777" w:rsidR="000B456F" w:rsidRDefault="0032250D">
      <w:pPr>
        <w:pStyle w:val="CaptionedFigure"/>
      </w:pPr>
      <w:bookmarkStart w:id="29" w:name="fig:ZScoreDistribution"/>
      <w:r>
        <w:rPr>
          <w:noProof/>
        </w:rPr>
        <w:drawing>
          <wp:inline distT="0" distB="0" distL="0" distR="0" wp14:anchorId="48501CA6" wp14:editId="4467E612">
            <wp:extent cx="5334000" cy="3200400"/>
            <wp:effectExtent l="0" t="0" r="0" b="0"/>
            <wp:docPr id="9" name="Picture" descr="The distribution of WZA scores from simulations of local adaptation. Note, the plot does not indicate the relative frequency of genes that are or are not locally adaptive. "/>
            <wp:cNvGraphicFramePr/>
            <a:graphic xmlns:a="http://schemas.openxmlformats.org/drawingml/2006/main">
              <a:graphicData uri="http://schemas.openxmlformats.org/drawingml/2006/picture">
                <pic:pic xmlns:pic="http://schemas.openxmlformats.org/drawingml/2006/picture">
                  <pic:nvPicPr>
                    <pic:cNvPr id="0" name="Picture" descr="Plots/selectionWZA_plot.pdf"/>
                    <pic:cNvPicPr>
                      <a:picLocks noChangeAspect="1" noChangeArrowheads="1"/>
                    </pic:cNvPicPr>
                  </pic:nvPicPr>
                  <pic:blipFill>
                    <a:blip r:embed="rId17"/>
                    <a:stretch>
                      <a:fillRect/>
                    </a:stretch>
                  </pic:blipFill>
                  <pic:spPr bwMode="auto">
                    <a:xfrm>
                      <a:off x="0" y="0"/>
                      <a:ext cx="5334000" cy="3200400"/>
                    </a:xfrm>
                    <a:prstGeom prst="rect">
                      <a:avLst/>
                    </a:prstGeom>
                    <a:noFill/>
                    <a:ln w="9525">
                      <a:noFill/>
                      <a:headEnd/>
                      <a:tailEnd/>
                    </a:ln>
                  </pic:spPr>
                </pic:pic>
              </a:graphicData>
            </a:graphic>
          </wp:inline>
        </w:drawing>
      </w:r>
      <w:bookmarkEnd w:id="29"/>
    </w:p>
    <w:p w14:paraId="2B138C4E" w14:textId="77777777" w:rsidR="000B456F" w:rsidRDefault="0032250D">
      <w:pPr>
        <w:pStyle w:val="ImageCaption"/>
      </w:pPr>
      <w:r>
        <w:t>The distribution of WZA scores from simulations of local adaptation. Note</w:t>
      </w:r>
      <w:r>
        <w:t xml:space="preserve">, the plot does not indicate the relative frequency of genes that are or are not locally adaptive. </w:t>
      </w:r>
    </w:p>
    <w:p w14:paraId="27FA540B" w14:textId="77777777" w:rsidR="000B456F" w:rsidRDefault="0032250D">
      <w:pPr>
        <w:pStyle w:val="CaptionedFigure"/>
      </w:pPr>
      <w:r>
        <w:rPr>
          <w:noProof/>
        </w:rPr>
        <w:lastRenderedPageBreak/>
        <w:drawing>
          <wp:inline distT="0" distB="0" distL="0" distR="0" wp14:anchorId="60F20B3E" wp14:editId="40A62709">
            <wp:extent cx="5334000" cy="5334000"/>
            <wp:effectExtent l="0" t="0" r="0" b="0"/>
            <wp:docPr id="10" name="Picture" descr="Plots demonstrating the genomic landscape of genotype-environment correlations for a single replicate for each of the three maps of environmental heterogeneity we simulated. From top to bottom, the three rows correspond to the BC Map (panels A-D), the gradient map (panels E-H) and the truncated map (panels I-L), respectively. The leftmost panel in each row shows the Manhattan plot of -log_{10}(p-values) from Kendall’s \tau (panels A, E and I). The central panels in each row show the distribution of Z_W scores from the WZA across the genome (B, F and J) and the distribution of results from the top-candidate method (C, G and K). The rightmost panels show the proportion of locally adapted genes identified using the three different different tests for an increasing number of genes in the search effort. Results are shown for directional selection simulations. Note that only SNPs with a minor allele frequency &gt; 0.05 are shown in panels (A, E and I)."/>
            <wp:cNvGraphicFramePr/>
            <a:graphic xmlns:a="http://schemas.openxmlformats.org/drawingml/2006/main">
              <a:graphicData uri="http://schemas.openxmlformats.org/drawingml/2006/picture">
                <pic:pic xmlns:pic="http://schemas.openxmlformats.org/drawingml/2006/picture">
                  <pic:nvPicPr>
                    <pic:cNvPr id="0" name="Picture" descr="Plots/ThreeRowDemoPlot.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4976FD51" w14:textId="77777777" w:rsidR="000B456F" w:rsidRDefault="0032250D">
      <w:pPr>
        <w:pStyle w:val="ImageCaption"/>
      </w:pPr>
      <w:r>
        <w:t>Plots demonstrating the genomic landscape of genotype-environment correlations for a single replicate for each of the three maps of environmental heteroge</w:t>
      </w:r>
      <w:r>
        <w:t xml:space="preserve">neity we simulated. From top to bottom, the three rows correspond to the BC Map (panels A-D), the gradient map (panels E-H) and the truncated map (panels I-L), respectively. The leftmost panel in each row shows the Manhattan plot of </w:t>
      </w:r>
      <m:oMath>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oMath>
      <w:r>
        <w:t>(</w:t>
      </w:r>
      <w:r>
        <w:t>p</w:t>
      </w:r>
      <w:r>
        <w:t>-values) fro</w:t>
      </w:r>
      <w:r>
        <w:t xml:space="preserve">m Kendall’s </w:t>
      </w:r>
      <m:oMath>
        <m:r>
          <w:rPr>
            <w:rFonts w:ascii="Cambria Math" w:hAnsi="Cambria Math"/>
          </w:rPr>
          <m:t>τ</m:t>
        </m:r>
      </m:oMath>
      <w:r>
        <w:t xml:space="preserve"> (panels A, E and I). The central panels in each row show 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from the WZA across the genome (B, F and J) and the distribution of results from the top-candidate method (C, G and K). The rightmost panels show the pr</w:t>
      </w:r>
      <w:r>
        <w:t>oportion of locally adapted genes identified using the three different different tests for an increasing number of genes in the search effort. Results are shown for directional selection simulations. Note that only SNPs with a minor allele frequency &gt; 0.05</w:t>
      </w:r>
      <w:r>
        <w:t xml:space="preserve"> are shown in panels (A, E and I).</w:t>
      </w:r>
    </w:p>
    <w:p w14:paraId="74E0E5AA" w14:textId="77777777" w:rsidR="000B456F" w:rsidRDefault="0032250D">
      <w:pPr>
        <w:pStyle w:val="CaptionedFigure"/>
      </w:pPr>
      <w:bookmarkStart w:id="30" w:name="fig:demoPlots"/>
      <w:r>
        <w:rPr>
          <w:noProof/>
        </w:rPr>
        <w:lastRenderedPageBreak/>
        <w:drawing>
          <wp:inline distT="0" distB="0" distL="0" distR="0" wp14:anchorId="4134521F" wp14:editId="0F3F3E8A">
            <wp:extent cx="5334000" cy="1905000"/>
            <wp:effectExtent l="0" t="0" r="0" b="0"/>
            <wp:docPr id="11" name="Picture" descr="Comparing the performance of the WZA genes identified using the WZA, using analysis windows analysing a fixed number of SNPs. Lines represent the means of 20 replicates."/>
            <wp:cNvGraphicFramePr/>
            <a:graphic xmlns:a="http://schemas.openxmlformats.org/drawingml/2006/main">
              <a:graphicData uri="http://schemas.openxmlformats.org/drawingml/2006/picture">
                <pic:pic xmlns:pic="http://schemas.openxmlformats.org/drawingml/2006/picture">
                  <pic:nvPicPr>
                    <pic:cNvPr id="0" name="Picture" descr="Plots/SNP_number.pdf"/>
                    <pic:cNvPicPr>
                      <a:picLocks noChangeAspect="1" noChangeArrowheads="1"/>
                    </pic:cNvPicPr>
                  </pic:nvPicPr>
                  <pic:blipFill>
                    <a:blip r:embed="rId19"/>
                    <a:stretch>
                      <a:fillRect/>
                    </a:stretch>
                  </pic:blipFill>
                  <pic:spPr bwMode="auto">
                    <a:xfrm>
                      <a:off x="0" y="0"/>
                      <a:ext cx="5334000" cy="1905000"/>
                    </a:xfrm>
                    <a:prstGeom prst="rect">
                      <a:avLst/>
                    </a:prstGeom>
                    <a:noFill/>
                    <a:ln w="9525">
                      <a:noFill/>
                      <a:headEnd/>
                      <a:tailEnd/>
                    </a:ln>
                  </pic:spPr>
                </pic:pic>
              </a:graphicData>
            </a:graphic>
          </wp:inline>
        </w:drawing>
      </w:r>
      <w:bookmarkEnd w:id="30"/>
    </w:p>
    <w:p w14:paraId="72D79168" w14:textId="77777777" w:rsidR="000B456F" w:rsidRDefault="0032250D">
      <w:pPr>
        <w:pStyle w:val="ImageCaption"/>
      </w:pPr>
      <w:r>
        <w:t>Comparing the performance of the WZA genes identified using the WZA, using analysis windows analysing a fixed number of SNPs. Lines represent the means of 20 replicates.</w:t>
      </w:r>
    </w:p>
    <w:p w14:paraId="52F23D4A" w14:textId="77777777" w:rsidR="000B456F" w:rsidRDefault="0032250D">
      <w:pPr>
        <w:pStyle w:val="CaptionedFigure"/>
      </w:pPr>
      <w:r>
        <w:rPr>
          <w:noProof/>
        </w:rPr>
        <w:lastRenderedPageBreak/>
        <w:drawing>
          <wp:inline distT="0" distB="0" distL="0" distR="0" wp14:anchorId="084EEE5B" wp14:editId="571AD1B4">
            <wp:extent cx="5334000" cy="6667500"/>
            <wp:effectExtent l="0" t="0" r="0" b="0"/>
            <wp:docPr id="12" name="Picture" descr="Comparison of the WZA, the top-candidate and the single-SNP approaches with varying numbers of sampled demes. Simulations shown assumed the BC map and directional selection. Note that the n = 40 panels are shown as part of Figure [fig:truePosBoth] in the main text. Lines represent the mean of 20 simulation replicates."/>
            <wp:cNvGraphicFramePr/>
            <a:graphic xmlns:a="http://schemas.openxmlformats.org/drawingml/2006/main">
              <a:graphicData uri="http://schemas.openxmlformats.org/drawingml/2006/picture">
                <pic:pic xmlns:pic="http://schemas.openxmlformats.org/drawingml/2006/picture">
                  <pic:nvPicPr>
                    <pic:cNvPr id="0" name="Picture" descr="Plots/SampleSizeComparison.pdf"/>
                    <pic:cNvPicPr>
                      <a:picLocks noChangeAspect="1" noChangeArrowheads="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14:paraId="32261920" w14:textId="77777777" w:rsidR="000B456F" w:rsidRDefault="0032250D">
      <w:pPr>
        <w:pStyle w:val="ImageCaption"/>
      </w:pPr>
      <w:r>
        <w:t>Comparison of the WZA, the top-candidate and th</w:t>
      </w:r>
      <w:r>
        <w:t xml:space="preserve">e single-SNP approaches with varying numbers of sampled demes. Simulations shown assumed the </w:t>
      </w:r>
      <w:r>
        <w:t>BC</w:t>
      </w:r>
      <w:r>
        <w:t xml:space="preserve"> map and directional selection. Note that the </w:t>
      </w:r>
      <w:r>
        <w:t>n = 40</w:t>
      </w:r>
      <w:r>
        <w:t xml:space="preserve"> panels are shown as part of Figure </w:t>
      </w:r>
      <w:hyperlink w:anchor="fig:truePosBoth">
        <w:r>
          <w:rPr>
            <w:rStyle w:val="Hyperlink"/>
          </w:rPr>
          <w:t>[fig:truePosBoth]</w:t>
        </w:r>
      </w:hyperlink>
      <w:r>
        <w:t xml:space="preserve"> in the main text.</w:t>
      </w:r>
      <w:r>
        <w:t xml:space="preserve"> Lines represent the mean of 20 simulation replicates.</w:t>
      </w:r>
    </w:p>
    <w:p w14:paraId="7A9EA0E9" w14:textId="77777777" w:rsidR="000B456F" w:rsidRDefault="0032250D">
      <w:pPr>
        <w:pStyle w:val="BodyText"/>
      </w:pPr>
      <w:bookmarkStart w:id="31" w:name="fig:sampleSize_demes"/>
      <w:r>
        <w:t>[fig:sampleSize_demes]</w:t>
      </w:r>
      <w:bookmarkEnd w:id="31"/>
    </w:p>
    <w:p w14:paraId="32900501" w14:textId="77777777" w:rsidR="000B456F" w:rsidRDefault="0032250D">
      <w:pPr>
        <w:pStyle w:val="CaptionedFigure"/>
      </w:pPr>
      <w:bookmarkStart w:id="32" w:name="fig:sampleMaps"/>
      <w:r>
        <w:rPr>
          <w:noProof/>
        </w:rPr>
        <w:lastRenderedPageBreak/>
        <w:drawing>
          <wp:inline distT="0" distB="0" distL="0" distR="0" wp14:anchorId="3AEBCC85" wp14:editId="0311D3E6">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bookmarkEnd w:id="32"/>
    </w:p>
    <w:p w14:paraId="5A1CC2AA" w14:textId="77777777" w:rsidR="000B456F" w:rsidRDefault="0032250D">
      <w:pPr>
        <w:pStyle w:val="ImageCaption"/>
      </w:pPr>
      <w:r>
        <w:t>Locations of sampled demes on the maps of environmental heterogeneity we assumed in the simulations. Triangles indicate the locations where individuals were sampled in each case.</w:t>
      </w:r>
    </w:p>
    <w:p w14:paraId="1C64E2A7" w14:textId="77777777" w:rsidR="000B456F" w:rsidRDefault="0032250D">
      <w:pPr>
        <w:pStyle w:val="CaptionedFigure"/>
      </w:pPr>
      <w:r>
        <w:rPr>
          <w:noProof/>
        </w:rPr>
        <w:lastRenderedPageBreak/>
        <w:drawing>
          <wp:inline distT="0" distB="0" distL="0" distR="0" wp14:anchorId="5DFAE044" wp14:editId="7C7A7601">
            <wp:extent cx="5334000" cy="2667000"/>
            <wp:effectExtent l="0" t="0" r="0" b="0"/>
            <wp:docPr id="14" name="Picture" descr="Comparison of the WZA, the top-candidate and the single-SNP approaches with varying numbers of sampled demes. Simulations shown assumed the BC map and directional selection. Note that the n = 40 panel is shown as part of Figure [fig:truePosBoth] in the main text. Lines represent the mean of 20 simulation replicates."/>
            <wp:cNvGraphicFramePr/>
            <a:graphic xmlns:a="http://schemas.openxmlformats.org/drawingml/2006/main">
              <a:graphicData uri="http://schemas.openxmlformats.org/drawingml/2006/picture">
                <pic:pic xmlns:pic="http://schemas.openxmlformats.org/drawingml/2006/picture">
                  <pic:nvPicPr>
                    <pic:cNvPr id="0" name="Picture" descr="Plots/SampleSizeComparison_individuals.pdf"/>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6557F3E9" w14:textId="77777777" w:rsidR="000B456F" w:rsidRDefault="0032250D">
      <w:pPr>
        <w:pStyle w:val="ImageCaption"/>
      </w:pPr>
      <w:r>
        <w:t xml:space="preserve">Comparison of the WZA, the top-candidate and the single-SNP approaches with varying numbers of sampled demes. Simulations shown assumed the </w:t>
      </w:r>
      <w:r>
        <w:t>BC</w:t>
      </w:r>
      <w:r>
        <w:t xml:space="preserve"> map and directional selection. Note that the </w:t>
      </w:r>
      <w:r>
        <w:t>n = 40</w:t>
      </w:r>
      <w:r>
        <w:t xml:space="preserve"> panel is shown as part of Figure </w:t>
      </w:r>
      <w:hyperlink w:anchor="fig:truePosBoth">
        <w:r>
          <w:rPr>
            <w:rStyle w:val="Hyperlink"/>
          </w:rPr>
          <w:t>[fig:truePosBoth]</w:t>
        </w:r>
      </w:hyperlink>
      <w:r>
        <w:t xml:space="preserve"> in the main text. Lines represent the mean of 20 simulation replicates.</w:t>
      </w:r>
    </w:p>
    <w:p w14:paraId="7A352A47" w14:textId="77777777" w:rsidR="000B456F" w:rsidRDefault="0032250D">
      <w:pPr>
        <w:pStyle w:val="BodyText"/>
      </w:pPr>
      <w:bookmarkStart w:id="33" w:name="fig:sampleSize_individuals"/>
      <w:r>
        <w:t>[fig:sampleSize_individuals]</w:t>
      </w:r>
      <w:bookmarkEnd w:id="33"/>
    </w:p>
    <w:p w14:paraId="64A3D090" w14:textId="77777777" w:rsidR="000B456F" w:rsidRDefault="0032250D">
      <w:pPr>
        <w:pStyle w:val="CaptionedFigure"/>
      </w:pPr>
      <w:bookmarkStart w:id="34" w:name="fig:lodgepoleDescriptives"/>
      <w:r>
        <w:rPr>
          <w:noProof/>
        </w:rPr>
        <w:lastRenderedPageBreak/>
        <w:drawing>
          <wp:inline distT="0" distB="0" distL="0" distR="0" wp14:anchorId="010E0B63" wp14:editId="12D794BB">
            <wp:extent cx="5334000" cy="8890000"/>
            <wp:effectExtent l="0" t="0" r="0" b="0"/>
            <wp:docPr id="15" name="Picture" descr="The distribution of A) degree days &lt; 0 (DD0) across the populations of P. contorta sampled by Yeaman et al (2016) and B) Z_W scores for the GEA on DD0. Note that the DD0 values in A) are unscaled. In B) the curve shows a normal distribution fitted to the data."/>
            <wp:cNvGraphicFramePr/>
            <a:graphic xmlns:a="http://schemas.openxmlformats.org/drawingml/2006/main">
              <a:graphicData uri="http://schemas.openxmlformats.org/drawingml/2006/picture">
                <pic:pic xmlns:pic="http://schemas.openxmlformats.org/drawingml/2006/picture">
                  <pic:nvPicPr>
                    <pic:cNvPr id="0" name="Picture" descr="../dataAnalsis/pineAnalysis_SuppFig.pdf"/>
                    <pic:cNvPicPr>
                      <a:picLocks noChangeAspect="1" noChangeArrowheads="1"/>
                    </pic:cNvPicPr>
                  </pic:nvPicPr>
                  <pic:blipFill>
                    <a:blip r:embed="rId23"/>
                    <a:stretch>
                      <a:fillRect/>
                    </a:stretch>
                  </pic:blipFill>
                  <pic:spPr bwMode="auto">
                    <a:xfrm>
                      <a:off x="0" y="0"/>
                      <a:ext cx="5334000" cy="8890000"/>
                    </a:xfrm>
                    <a:prstGeom prst="rect">
                      <a:avLst/>
                    </a:prstGeom>
                    <a:noFill/>
                    <a:ln w="9525">
                      <a:noFill/>
                      <a:headEnd/>
                      <a:tailEnd/>
                    </a:ln>
                  </pic:spPr>
                </pic:pic>
              </a:graphicData>
            </a:graphic>
          </wp:inline>
        </w:drawing>
      </w:r>
      <w:bookmarkEnd w:id="34"/>
    </w:p>
    <w:p w14:paraId="7B851E5E" w14:textId="77777777" w:rsidR="000B456F" w:rsidRDefault="0032250D">
      <w:pPr>
        <w:pStyle w:val="ImageCaption"/>
      </w:pPr>
      <w:r>
        <w:lastRenderedPageBreak/>
        <w:t xml:space="preserve">The distribution of A) degree days &lt; 0 (DD0) across the populations of </w:t>
      </w:r>
      <w:r>
        <w:t>P. contorta</w:t>
      </w:r>
      <w:r>
        <w:t xml:space="preserve"> sampled by Yeaman et al (2016) and B)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for the GEA on DD0. Note that the DD0 values in A) are unscaled. In B) the curve shows a normal distribution fitted to the data.</w:t>
      </w:r>
    </w:p>
    <w:p w14:paraId="3CEAF83B" w14:textId="77777777" w:rsidR="000B456F" w:rsidRDefault="0032250D">
      <w:pPr>
        <w:pStyle w:val="CaptionedFigure"/>
      </w:pPr>
      <w:r>
        <w:rPr>
          <w:noProof/>
        </w:rPr>
        <w:drawing>
          <wp:inline distT="0" distB="0" distL="0" distR="0" wp14:anchorId="73719383" wp14:editId="6734FC2A">
            <wp:extent cx="5334000" cy="2667000"/>
            <wp:effectExtent l="0" t="0" r="0" b="0"/>
            <wp:docPr id="16" name="Picture" descr="The distribution of Z_W scores under different recombination rates."/>
            <wp:cNvGraphicFramePr/>
            <a:graphic xmlns:a="http://schemas.openxmlformats.org/drawingml/2006/main">
              <a:graphicData uri="http://schemas.openxmlformats.org/drawingml/2006/picture">
                <pic:pic xmlns:pic="http://schemas.openxmlformats.org/drawingml/2006/picture">
                  <pic:nvPicPr>
                    <pic:cNvPr id="0" name="Picture" descr="Plots/recombinationRateHistogram.pdf"/>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1D41C17C" w14:textId="77777777" w:rsidR="000B456F" w:rsidRDefault="0032250D">
      <w:pPr>
        <w:pStyle w:val="ImageCaption"/>
      </w:pPr>
      <w:r>
        <w:t xml:space="preserve">The distribution of </w:t>
      </w:r>
      <m:oMath>
        <m:sSub>
          <m:sSubPr>
            <m:ctrlPr>
              <w:rPr>
                <w:rFonts w:ascii="Cambria Math" w:hAnsi="Cambria Math"/>
              </w:rPr>
            </m:ctrlPr>
          </m:sSubPr>
          <m:e>
            <m:r>
              <w:rPr>
                <w:rFonts w:ascii="Cambria Math" w:hAnsi="Cambria Math"/>
              </w:rPr>
              <m:t>Z</m:t>
            </m:r>
          </m:e>
          <m:sub>
            <m:r>
              <w:rPr>
                <w:rFonts w:ascii="Cambria Math" w:hAnsi="Cambria Math"/>
              </w:rPr>
              <m:t>W</m:t>
            </m:r>
          </m:sub>
        </m:sSub>
      </m:oMath>
      <w:r>
        <w:t xml:space="preserve"> scores under different recombination rates.</w:t>
      </w:r>
    </w:p>
    <w:p w14:paraId="7EA8618C" w14:textId="77777777" w:rsidR="000B456F" w:rsidRDefault="0032250D">
      <w:pPr>
        <w:pStyle w:val="BodyText"/>
      </w:pPr>
      <w:bookmarkStart w:id="35" w:name="fig:WZA_Recombination"/>
      <w:r>
        <w:t>[fig:WZA_Recombination]</w:t>
      </w:r>
      <w:bookmarkEnd w:id="35"/>
    </w:p>
    <w:p w14:paraId="1CB33E35" w14:textId="77777777" w:rsidR="000B456F" w:rsidRDefault="0032250D">
      <w:pPr>
        <w:pStyle w:val="Heading2"/>
      </w:pPr>
      <w:bookmarkStart w:id="36" w:name="recombination-rate-variation"/>
      <w:r>
        <w:t>Recombination rate varia</w:t>
      </w:r>
      <w:r>
        <w:t>tion</w:t>
      </w:r>
      <w:bookmarkEnd w:id="36"/>
    </w:p>
    <w:p w14:paraId="236644F5" w14:textId="77777777" w:rsidR="000B456F" w:rsidRDefault="0032250D">
      <w:pPr>
        <w:pStyle w:val="Bibliography"/>
      </w:pPr>
      <w:bookmarkStart w:id="37" w:name="ref-Aitken2013-yp"/>
      <w:bookmarkStart w:id="38" w:name="refs"/>
      <w:r>
        <w:t xml:space="preserve">Aitken, Sally N, and Michael C Whitlock. 2013. “Assisted Gene Flow to Facilitate Local Adaptation to Climate Change.” </w:t>
      </w:r>
      <w:r>
        <w:rPr>
          <w:i/>
        </w:rPr>
        <w:t>Annu. Rev. Ecol. Evol. Syst.</w:t>
      </w:r>
      <w:r>
        <w:t xml:space="preserve"> 44 (1): 367–88.</w:t>
      </w:r>
    </w:p>
    <w:p w14:paraId="25702C58" w14:textId="77777777" w:rsidR="000B456F" w:rsidRDefault="0032250D">
      <w:pPr>
        <w:pStyle w:val="Bibliography"/>
      </w:pPr>
      <w:bookmarkStart w:id="39" w:name="ref-Barton1986"/>
      <w:bookmarkEnd w:id="37"/>
      <w:r>
        <w:t>Barton, Nick, and Bengt Olle Bengtsson. 1986. “The barrier to genetic exchange between h</w:t>
      </w:r>
      <w:r>
        <w:t xml:space="preserve">ybridising populations.” </w:t>
      </w:r>
      <w:r>
        <w:rPr>
          <w:i/>
        </w:rPr>
        <w:t>Heredity</w:t>
      </w:r>
      <w:r>
        <w:t xml:space="preserve"> 57 (3): 357–76. </w:t>
      </w:r>
      <w:hyperlink r:id="rId25">
        <w:r>
          <w:rPr>
            <w:rStyle w:val="Hyperlink"/>
          </w:rPr>
          <w:t>https://doi.org/10.1038/hdy.1986.135</w:t>
        </w:r>
      </w:hyperlink>
      <w:r>
        <w:t>.</w:t>
      </w:r>
    </w:p>
    <w:p w14:paraId="5B61EE6E" w14:textId="77777777" w:rsidR="000B456F" w:rsidRDefault="0032250D">
      <w:pPr>
        <w:pStyle w:val="Bibliography"/>
      </w:pPr>
      <w:bookmarkStart w:id="40" w:name="ref-Bhatia2013"/>
      <w:bookmarkEnd w:id="39"/>
      <w:r>
        <w:t>Bhatia, Gaurav, Nick Patterson, Sriram Sankararaman, and Alkes L. Price. 2013. “Estimating and interpreting FST:</w:t>
      </w:r>
      <w:r>
        <w:t xml:space="preserve"> The impact of rare variants.” </w:t>
      </w:r>
      <w:r>
        <w:rPr>
          <w:i/>
        </w:rPr>
        <w:t>Genome Research</w:t>
      </w:r>
      <w:r>
        <w:t xml:space="preserve"> 23 (9): 1514–21. </w:t>
      </w:r>
      <w:hyperlink r:id="rId26">
        <w:r>
          <w:rPr>
            <w:rStyle w:val="Hyperlink"/>
          </w:rPr>
          <w:t>https://doi.org/10.1101/gr.154831.113</w:t>
        </w:r>
      </w:hyperlink>
      <w:r>
        <w:t>.</w:t>
      </w:r>
    </w:p>
    <w:p w14:paraId="5704D038" w14:textId="77777777" w:rsidR="000B456F" w:rsidRDefault="0032250D">
      <w:pPr>
        <w:pStyle w:val="Bibliography"/>
      </w:pPr>
      <w:bookmarkStart w:id="41" w:name="ref-Bontrager2020"/>
      <w:bookmarkEnd w:id="40"/>
      <w:r>
        <w:t>Bontrager, M., C. D. Muir, C. Mahony, D. E. Gamble, R. M. Germain, A. L. Hargreaves, E. J. Kleyn</w:t>
      </w:r>
      <w:r>
        <w:t xml:space="preserve">hans, K. A. Thompson, and A. L. Angert. 2020. “Climate warming weakens local adaptation.” bioRxiv. </w:t>
      </w:r>
      <w:hyperlink r:id="rId27">
        <w:r>
          <w:rPr>
            <w:rStyle w:val="Hyperlink"/>
          </w:rPr>
          <w:t>https://doi.org/10.1101/2020.11.01.364349</w:t>
        </w:r>
      </w:hyperlink>
      <w:r>
        <w:t>.</w:t>
      </w:r>
    </w:p>
    <w:p w14:paraId="6EB4E183" w14:textId="77777777" w:rsidR="000B456F" w:rsidRDefault="0032250D">
      <w:pPr>
        <w:pStyle w:val="Bibliography"/>
      </w:pPr>
      <w:bookmarkStart w:id="42" w:name="ref-Booker2020"/>
      <w:bookmarkEnd w:id="41"/>
      <w:r>
        <w:t xml:space="preserve">Booker, Tom R., Sam Yeaman, and Michael C. Whitlock. </w:t>
      </w:r>
      <w:r>
        <w:t xml:space="preserve">2020. “Variation in recombination rate affects detection of outliers in genome scans under neutrality.” </w:t>
      </w:r>
      <w:r>
        <w:rPr>
          <w:i/>
        </w:rPr>
        <w:t>Molecular Ecology</w:t>
      </w:r>
      <w:r>
        <w:t xml:space="preserve"> 29 (22): 4274–9. </w:t>
      </w:r>
      <w:hyperlink r:id="rId28">
        <w:r>
          <w:rPr>
            <w:rStyle w:val="Hyperlink"/>
          </w:rPr>
          <w:t>https://doi.org/10.1111/mec.15501</w:t>
        </w:r>
      </w:hyperlink>
      <w:r>
        <w:t>.</w:t>
      </w:r>
    </w:p>
    <w:p w14:paraId="2C3C5162" w14:textId="77777777" w:rsidR="000B456F" w:rsidRDefault="0032250D">
      <w:pPr>
        <w:pStyle w:val="Bibliography"/>
      </w:pPr>
      <w:bookmarkStart w:id="43" w:name="ref-RN173"/>
      <w:bookmarkEnd w:id="42"/>
      <w:r>
        <w:t>Charlesworth, B, and D Charle</w:t>
      </w:r>
      <w:r>
        <w:t xml:space="preserve">sworth. 2010. </w:t>
      </w:r>
      <w:r>
        <w:rPr>
          <w:i/>
        </w:rPr>
        <w:t>Elements of Evolutionary Genetics</w:t>
      </w:r>
      <w:r>
        <w:t>. Book. Greenwood Village, Colorado: Roberts &amp; Company.</w:t>
      </w:r>
    </w:p>
    <w:p w14:paraId="210ADA92" w14:textId="77777777" w:rsidR="000B456F" w:rsidRDefault="0032250D">
      <w:pPr>
        <w:pStyle w:val="Bibliography"/>
      </w:pPr>
      <w:bookmarkStart w:id="44" w:name="ref-Coop2010"/>
      <w:bookmarkEnd w:id="43"/>
      <w:r>
        <w:lastRenderedPageBreak/>
        <w:t>Coop, Graham, David Witonsky, Anna Di Rienzo, and Jonathan K. Pritchard. 2010. “Using environmental correlations to identify loci underlying local adapta</w:t>
      </w:r>
      <w:r>
        <w:t xml:space="preserve">tion.” </w:t>
      </w:r>
      <w:r>
        <w:rPr>
          <w:i/>
        </w:rPr>
        <w:t>Genetics</w:t>
      </w:r>
      <w:r>
        <w:t xml:space="preserve"> 185 (4): 1411–23. </w:t>
      </w:r>
      <w:hyperlink r:id="rId29">
        <w:r>
          <w:rPr>
            <w:rStyle w:val="Hyperlink"/>
          </w:rPr>
          <w:t>https://doi.org/10.1534/genetics.110.114819</w:t>
        </w:r>
      </w:hyperlink>
      <w:r>
        <w:t>.</w:t>
      </w:r>
    </w:p>
    <w:p w14:paraId="386FCED5" w14:textId="77777777" w:rsidR="000B456F" w:rsidRDefault="0032250D">
      <w:pPr>
        <w:pStyle w:val="Bibliography"/>
      </w:pPr>
      <w:bookmarkStart w:id="45" w:name="ref-Forester2016"/>
      <w:bookmarkEnd w:id="44"/>
      <w:r>
        <w:t>Forester, Brenna R., Matthew R. Jones, Stéphane Joost, Erin L. Landguth, and Jesse R. Lasky. 2016. “Detecting spat</w:t>
      </w:r>
      <w:r>
        <w:t xml:space="preserve">ial genetic signatures of local adaptation in heterogeneous landscapes.” </w:t>
      </w:r>
      <w:r>
        <w:rPr>
          <w:i/>
        </w:rPr>
        <w:t>Molecular Ecology</w:t>
      </w:r>
      <w:r>
        <w:t xml:space="preserve"> 25 (1): 104–20. </w:t>
      </w:r>
      <w:hyperlink r:id="rId30">
        <w:r>
          <w:rPr>
            <w:rStyle w:val="Hyperlink"/>
          </w:rPr>
          <w:t>https://doi.org/10.1111/mec.13476</w:t>
        </w:r>
      </w:hyperlink>
      <w:r>
        <w:t>.</w:t>
      </w:r>
    </w:p>
    <w:p w14:paraId="345E9945" w14:textId="77777777" w:rsidR="000B456F" w:rsidRDefault="0032250D">
      <w:pPr>
        <w:pStyle w:val="Bibliography"/>
      </w:pPr>
      <w:bookmarkStart w:id="46" w:name="ref-Forester2018"/>
      <w:bookmarkEnd w:id="45"/>
      <w:r>
        <w:t xml:space="preserve">Forester, Brenna R., Jesse R. Lasky, Helene H. Wagner, and Dean L. Urban. 2018. “Comparing methods for detecting multilocus adaptation with multivariate genotype-environment associations.” </w:t>
      </w:r>
      <w:r>
        <w:rPr>
          <w:i/>
        </w:rPr>
        <w:t>Molecular Ecology</w:t>
      </w:r>
      <w:r>
        <w:t xml:space="preserve"> 27 (9): 2215–33. </w:t>
      </w:r>
      <w:hyperlink r:id="rId31">
        <w:r>
          <w:rPr>
            <w:rStyle w:val="Hyperlink"/>
          </w:rPr>
          <w:t>https://doi.org/10.1111/mec.14584</w:t>
        </w:r>
      </w:hyperlink>
      <w:r>
        <w:t>.</w:t>
      </w:r>
    </w:p>
    <w:p w14:paraId="2C2AC861" w14:textId="77777777" w:rsidR="000B456F" w:rsidRDefault="0032250D">
      <w:pPr>
        <w:pStyle w:val="Bibliography"/>
      </w:pPr>
      <w:bookmarkStart w:id="47" w:name="ref-Frichot2015"/>
      <w:bookmarkEnd w:id="46"/>
      <w:r>
        <w:t xml:space="preserve">Frichot, Eric, and Olivier François. 2015. “LEA: An R package for landscape and ecological association studies.” Edited by Brian O’Meara. </w:t>
      </w:r>
      <w:r>
        <w:rPr>
          <w:i/>
        </w:rPr>
        <w:t>Methods in Ecology and Evolution</w:t>
      </w:r>
      <w:r>
        <w:t xml:space="preserve"> 6 (8): 925–29. </w:t>
      </w:r>
      <w:hyperlink r:id="rId32">
        <w:r>
          <w:rPr>
            <w:rStyle w:val="Hyperlink"/>
          </w:rPr>
          <w:t>https://doi.org/10.1111/2041-210X.12382</w:t>
        </w:r>
      </w:hyperlink>
      <w:r>
        <w:t>.</w:t>
      </w:r>
    </w:p>
    <w:p w14:paraId="005602B1" w14:textId="77777777" w:rsidR="000B456F" w:rsidRDefault="0032250D">
      <w:pPr>
        <w:pStyle w:val="Bibliography"/>
      </w:pPr>
      <w:bookmarkStart w:id="48" w:name="ref-Frichot2013"/>
      <w:bookmarkEnd w:id="47"/>
      <w:r>
        <w:t>Frichot, Eric, Sean D. Schoville, Guillaume Bouchard, and Olivier François. 2013. “Testing for Associations between Loci and Environmental Gradients Using Latent Factor M</w:t>
      </w:r>
      <w:r>
        <w:t xml:space="preserve">ixed Models.” </w:t>
      </w:r>
      <w:r>
        <w:rPr>
          <w:i/>
        </w:rPr>
        <w:t>Molecular Biology and Evolution</w:t>
      </w:r>
      <w:r>
        <w:t xml:space="preserve"> 30 (7): 1687–99. </w:t>
      </w:r>
      <w:hyperlink r:id="rId33">
        <w:r>
          <w:rPr>
            <w:rStyle w:val="Hyperlink"/>
          </w:rPr>
          <w:t>https://doi.org/10.1093/molbev/mst063</w:t>
        </w:r>
      </w:hyperlink>
      <w:r>
        <w:t>.</w:t>
      </w:r>
    </w:p>
    <w:p w14:paraId="7EB1DE6B" w14:textId="77777777" w:rsidR="000B456F" w:rsidRDefault="0032250D">
      <w:pPr>
        <w:pStyle w:val="Bibliography"/>
      </w:pPr>
      <w:bookmarkStart w:id="49" w:name="ref-Gautier2015"/>
      <w:bookmarkEnd w:id="48"/>
      <w:r>
        <w:t>Gautier, Mathieu. 2015. “Genome-wide scan for adaptive divergence and association with population</w:t>
      </w:r>
      <w:r>
        <w:t xml:space="preserve">-specific covariates.” </w:t>
      </w:r>
      <w:r>
        <w:rPr>
          <w:i/>
        </w:rPr>
        <w:t>Genetics</w:t>
      </w:r>
      <w:r>
        <w:t xml:space="preserve"> 201 (4): 1555–79. </w:t>
      </w:r>
      <w:hyperlink r:id="rId34">
        <w:r>
          <w:rPr>
            <w:rStyle w:val="Hyperlink"/>
          </w:rPr>
          <w:t>https://doi.org/10.1534/genetics.115.181453</w:t>
        </w:r>
      </w:hyperlink>
      <w:r>
        <w:t>.</w:t>
      </w:r>
    </w:p>
    <w:p w14:paraId="08AEAFD4" w14:textId="77777777" w:rsidR="000B456F" w:rsidRDefault="0032250D">
      <w:pPr>
        <w:pStyle w:val="Bibliography"/>
      </w:pPr>
      <w:bookmarkStart w:id="50" w:name="ref-Haldane1948"/>
      <w:bookmarkEnd w:id="49"/>
      <w:r>
        <w:t xml:space="preserve">Haldane, J. B. S. 1948. “The theory of a cline.” </w:t>
      </w:r>
      <w:r>
        <w:rPr>
          <w:i/>
        </w:rPr>
        <w:t>Journal of Genetics</w:t>
      </w:r>
      <w:r>
        <w:t xml:space="preserve"> 48 (3): 277–84. </w:t>
      </w:r>
      <w:hyperlink r:id="rId35">
        <w:r>
          <w:rPr>
            <w:rStyle w:val="Hyperlink"/>
          </w:rPr>
          <w:t>https://doi.org/10.1007/BF02986626</w:t>
        </w:r>
      </w:hyperlink>
      <w:r>
        <w:t>.</w:t>
      </w:r>
    </w:p>
    <w:p w14:paraId="309C0ABE" w14:textId="77777777" w:rsidR="000B456F" w:rsidRDefault="0032250D">
      <w:pPr>
        <w:pStyle w:val="Bibliography"/>
      </w:pPr>
      <w:bookmarkStart w:id="51" w:name="ref-Haller2019-za"/>
      <w:bookmarkEnd w:id="50"/>
      <w:r>
        <w:t xml:space="preserve">Haller, Benjamin C, Jared Galloway, Jerome Kelleher, Philipp W Messer, and Peter L Ralph. 2019. “Tree-sequence recording in SLiM opens new horizons for forward-time simulation of </w:t>
      </w:r>
      <w:r>
        <w:t xml:space="preserve">whole genomes.” </w:t>
      </w:r>
      <w:r>
        <w:rPr>
          <w:i/>
        </w:rPr>
        <w:t>Mol. Ecol. Resour.</w:t>
      </w:r>
      <w:r>
        <w:t xml:space="preserve"> 19 (2): 552–66.</w:t>
      </w:r>
    </w:p>
    <w:p w14:paraId="6D54F3BC" w14:textId="77777777" w:rsidR="000B456F" w:rsidRDefault="0032250D">
      <w:pPr>
        <w:pStyle w:val="Bibliography"/>
      </w:pPr>
      <w:bookmarkStart w:id="52" w:name="ref-Hancock2011"/>
      <w:bookmarkEnd w:id="51"/>
      <w:r>
        <w:t xml:space="preserve">Hancock, Angela M., Benjamin Brachi, Nathalie Faure, Matthew W. Horton, Lucien B. Jarymowycz, F. Gianluca Sperone, Chris Toomajian, Fabrice Roux, and Joy Bergelson. 2011. “Adaptation to climate across the </w:t>
      </w:r>
      <w:r>
        <w:t xml:space="preserve">Arabidopsis thaliana genome.” </w:t>
      </w:r>
      <w:r>
        <w:rPr>
          <w:i/>
        </w:rPr>
        <w:t>Science</w:t>
      </w:r>
      <w:r>
        <w:t xml:space="preserve"> 334 (6052): 83–86. </w:t>
      </w:r>
      <w:hyperlink r:id="rId36">
        <w:r>
          <w:rPr>
            <w:rStyle w:val="Hyperlink"/>
          </w:rPr>
          <w:t>https://doi.org/10.1126/science.1209244</w:t>
        </w:r>
      </w:hyperlink>
      <w:r>
        <w:t>.</w:t>
      </w:r>
    </w:p>
    <w:p w14:paraId="6F1775E5" w14:textId="77777777" w:rsidR="000B456F" w:rsidRDefault="0032250D">
      <w:pPr>
        <w:pStyle w:val="Bibliography"/>
      </w:pPr>
      <w:bookmarkStart w:id="53" w:name="ref-Hejase2020"/>
      <w:bookmarkEnd w:id="52"/>
      <w:r>
        <w:t>Hejase, Hussein A., Noah Dukler, and Adam Siepel. 2020. “From Summary Statistics to Gene Trees: Met</w:t>
      </w:r>
      <w:r>
        <w:t xml:space="preserve">hods for Inferring Positive Selection.” Elsevier Ltd. </w:t>
      </w:r>
      <w:hyperlink r:id="rId37">
        <w:r>
          <w:rPr>
            <w:rStyle w:val="Hyperlink"/>
          </w:rPr>
          <w:t>https://doi.org/10.1016/j.tig.2019.12.008</w:t>
        </w:r>
      </w:hyperlink>
      <w:r>
        <w:t>.</w:t>
      </w:r>
    </w:p>
    <w:p w14:paraId="7212C31B" w14:textId="77777777" w:rsidR="000B456F" w:rsidRDefault="0032250D">
      <w:pPr>
        <w:pStyle w:val="Bibliography"/>
      </w:pPr>
      <w:bookmarkStart w:id="54" w:name="ref-Hereford2009"/>
      <w:bookmarkEnd w:id="53"/>
      <w:r>
        <w:t>Hereford, Joe. 2009. “A quantitative survey of local adaptation and fitness trade-offs.” The Unive</w:t>
      </w:r>
      <w:r>
        <w:t xml:space="preserve">rsity of Chicago Press. </w:t>
      </w:r>
      <w:hyperlink r:id="rId38">
        <w:r>
          <w:rPr>
            <w:rStyle w:val="Hyperlink"/>
          </w:rPr>
          <w:t>https://doi.org/10.1086/597611</w:t>
        </w:r>
      </w:hyperlink>
      <w:r>
        <w:t>.</w:t>
      </w:r>
    </w:p>
    <w:p w14:paraId="54D3D8D2" w14:textId="77777777" w:rsidR="000B456F" w:rsidRDefault="0032250D">
      <w:pPr>
        <w:pStyle w:val="Bibliography"/>
      </w:pPr>
      <w:bookmarkStart w:id="55" w:name="ref-Hoban2016"/>
      <w:bookmarkEnd w:id="54"/>
      <w:r>
        <w:t>Hoban, Sean, Joanna L. Kelley, Katie E. Lotterhos, Michael F. Antolin, Gideon Bradburd, David B. Lowry, Mary L. Poss, Laura K. Reed, Andrew Storfer, a</w:t>
      </w:r>
      <w:r>
        <w:t xml:space="preserve">nd Michael C. Whitlock. 2016. “Finding the genomic basis of local adaptation: Pitfalls, practical solutions, and future directions.” </w:t>
      </w:r>
      <w:r>
        <w:rPr>
          <w:i/>
        </w:rPr>
        <w:t>American Naturalist</w:t>
      </w:r>
      <w:r>
        <w:t xml:space="preserve"> 188 (4): 379–97. </w:t>
      </w:r>
      <w:hyperlink r:id="rId39">
        <w:r>
          <w:rPr>
            <w:rStyle w:val="Hyperlink"/>
          </w:rPr>
          <w:t>https://doi.org/10.1086/688018</w:t>
        </w:r>
      </w:hyperlink>
      <w:r>
        <w:t>.</w:t>
      </w:r>
    </w:p>
    <w:p w14:paraId="5E31CD6C" w14:textId="77777777" w:rsidR="000B456F" w:rsidRDefault="0032250D">
      <w:pPr>
        <w:pStyle w:val="Bibliography"/>
      </w:pPr>
      <w:bookmarkStart w:id="56" w:name="ref-Kirkpatrick2006"/>
      <w:bookmarkEnd w:id="55"/>
      <w:r>
        <w:lastRenderedPageBreak/>
        <w:t xml:space="preserve">Kirkpatrick, Mark, and Nick Barton. 2006. “Chromosome inversions, local adaptation and speciation.” </w:t>
      </w:r>
      <w:r>
        <w:rPr>
          <w:i/>
        </w:rPr>
        <w:t>Genetics</w:t>
      </w:r>
      <w:r>
        <w:t xml:space="preserve"> 173 (1): 419–34. </w:t>
      </w:r>
      <w:hyperlink r:id="rId40">
        <w:r>
          <w:rPr>
            <w:rStyle w:val="Hyperlink"/>
          </w:rPr>
          <w:t>https://doi.org/10.1534/genetics.105.047985</w:t>
        </w:r>
      </w:hyperlink>
      <w:r>
        <w:t>.</w:t>
      </w:r>
    </w:p>
    <w:p w14:paraId="37A29FF8" w14:textId="77777777" w:rsidR="000B456F" w:rsidRDefault="0032250D">
      <w:pPr>
        <w:pStyle w:val="Bibliography"/>
      </w:pPr>
      <w:bookmarkStart w:id="57" w:name="ref-Klopfstein2006"/>
      <w:bookmarkEnd w:id="56"/>
      <w:r>
        <w:t>Klopfstein, Seraina, M</w:t>
      </w:r>
      <w:r>
        <w:t xml:space="preserve">athias Currat, and Laurent Excoffier. 2006. “The fate of mutations surfing on the wave of a range expansion.” </w:t>
      </w:r>
      <w:r>
        <w:rPr>
          <w:i/>
        </w:rPr>
        <w:t>Molecular Biology and Evolution</w:t>
      </w:r>
      <w:r>
        <w:t xml:space="preserve">. </w:t>
      </w:r>
      <w:hyperlink r:id="rId41">
        <w:r>
          <w:rPr>
            <w:rStyle w:val="Hyperlink"/>
          </w:rPr>
          <w:t>https://doi.org/10.1093/molbev/msj057</w:t>
        </w:r>
      </w:hyperlink>
      <w:r>
        <w:t>.</w:t>
      </w:r>
    </w:p>
    <w:p w14:paraId="74DFD0F8" w14:textId="77777777" w:rsidR="000B456F" w:rsidRDefault="0032250D">
      <w:pPr>
        <w:pStyle w:val="Bibliography"/>
      </w:pPr>
      <w:bookmarkStart w:id="58" w:name="ref-Legendre2012"/>
      <w:bookmarkEnd w:id="57"/>
      <w:r>
        <w:t xml:space="preserve">Legendre, P., and L. Legendre. 2012. </w:t>
      </w:r>
      <w:r>
        <w:rPr>
          <w:i/>
        </w:rPr>
        <w:t>Numerical Ecology, Volume 24</w:t>
      </w:r>
      <w:r>
        <w:t xml:space="preserve">. 3rd Englis. Elsevier. </w:t>
      </w:r>
      <w:hyperlink r:id="rId42">
        <w:r>
          <w:rPr>
            <w:rStyle w:val="Hyperlink"/>
          </w:rPr>
          <w:t>https://www.elsevier.com/books/nu</w:t>
        </w:r>
        <w:r>
          <w:rPr>
            <w:rStyle w:val="Hyperlink"/>
          </w:rPr>
          <w:t>merical-ecology/legendre/978-0-444-53868-0</w:t>
        </w:r>
      </w:hyperlink>
      <w:r>
        <w:t>.</w:t>
      </w:r>
    </w:p>
    <w:p w14:paraId="4960BF2B" w14:textId="77777777" w:rsidR="000B456F" w:rsidRDefault="0032250D">
      <w:pPr>
        <w:pStyle w:val="Bibliography"/>
      </w:pPr>
      <w:bookmarkStart w:id="59" w:name="ref-Lotterhos2019-ki"/>
      <w:bookmarkEnd w:id="58"/>
      <w:r>
        <w:t xml:space="preserve">Lotterhos, Katie E. 2019. “The Effect of Neutral Recombination Variation on Genome Scans for Selection.” </w:t>
      </w:r>
      <w:r>
        <w:rPr>
          <w:i/>
        </w:rPr>
        <w:t>G3</w:t>
      </w:r>
      <w:r>
        <w:t xml:space="preserve"> 9 (6): 1851–67.</w:t>
      </w:r>
    </w:p>
    <w:p w14:paraId="1F929EE1" w14:textId="77777777" w:rsidR="000B456F" w:rsidRDefault="0032250D">
      <w:pPr>
        <w:pStyle w:val="Bibliography"/>
      </w:pPr>
      <w:bookmarkStart w:id="60" w:name="ref-Meirmans2012"/>
      <w:bookmarkEnd w:id="59"/>
      <w:r>
        <w:t xml:space="preserve">Meirmans, Patrick G. 2012. “The trouble with isolation by distance.” </w:t>
      </w:r>
      <w:r>
        <w:rPr>
          <w:i/>
        </w:rPr>
        <w:t>Molecular Ecology</w:t>
      </w:r>
      <w:r>
        <w:t xml:space="preserve"> 2</w:t>
      </w:r>
      <w:r>
        <w:t xml:space="preserve">1 (12): 2839–46. </w:t>
      </w:r>
      <w:hyperlink r:id="rId43">
        <w:r>
          <w:rPr>
            <w:rStyle w:val="Hyperlink"/>
          </w:rPr>
          <w:t>https://doi.org/10.1111/j.1365-294X.2012.05578.x</w:t>
        </w:r>
      </w:hyperlink>
      <w:r>
        <w:t>.</w:t>
      </w:r>
    </w:p>
    <w:p w14:paraId="56E5D170" w14:textId="77777777" w:rsidR="000B456F" w:rsidRDefault="0032250D">
      <w:pPr>
        <w:pStyle w:val="Bibliography"/>
      </w:pPr>
      <w:bookmarkStart w:id="61" w:name="ref-Mimura2007"/>
      <w:bookmarkEnd w:id="60"/>
      <w:r>
        <w:t>Mimura, M., and S. N. Aitken. 2007. “Adaptive gradients and isolation-by-distance with postglacial migration in Picea sit</w:t>
      </w:r>
      <w:r>
        <w:t xml:space="preserve">chensis.” </w:t>
      </w:r>
      <w:r>
        <w:rPr>
          <w:i/>
        </w:rPr>
        <w:t>Heredity</w:t>
      </w:r>
      <w:r>
        <w:t xml:space="preserve"> 99 (2): 224–32. </w:t>
      </w:r>
      <w:hyperlink r:id="rId44">
        <w:r>
          <w:rPr>
            <w:rStyle w:val="Hyperlink"/>
          </w:rPr>
          <w:t>https://doi.org/10.1038/sj.hdy.6800987</w:t>
        </w:r>
      </w:hyperlink>
      <w:r>
        <w:t>.</w:t>
      </w:r>
    </w:p>
    <w:p w14:paraId="49A09C44" w14:textId="77777777" w:rsidR="000B456F" w:rsidRDefault="0032250D">
      <w:pPr>
        <w:pStyle w:val="Bibliography"/>
      </w:pPr>
      <w:bookmarkStart w:id="62" w:name="ref-Morales2019"/>
      <w:bookmarkEnd w:id="61"/>
      <w:r>
        <w:t>Morales, Hernán E., Rui Faria, Kerstin Johannesson, Tomas Larsson, Marina Panova, Anja M. Westram, and Roger K. Butlin. 201</w:t>
      </w:r>
      <w:r>
        <w:t xml:space="preserve">9. “Genomic architecture of parallel ecological divergence: Beyond a single environmental contrast.” </w:t>
      </w:r>
      <w:r>
        <w:rPr>
          <w:i/>
        </w:rPr>
        <w:t>Science Advances</w:t>
      </w:r>
      <w:r>
        <w:t xml:space="preserve"> 5 (12): eaav9963. </w:t>
      </w:r>
      <w:hyperlink r:id="rId45">
        <w:r>
          <w:rPr>
            <w:rStyle w:val="Hyperlink"/>
          </w:rPr>
          <w:t>https://doi.org/10.1126/sciadv.aav9963</w:t>
        </w:r>
      </w:hyperlink>
      <w:r>
        <w:t>.</w:t>
      </w:r>
    </w:p>
    <w:p w14:paraId="3197A9BB" w14:textId="77777777" w:rsidR="000B456F" w:rsidRDefault="0032250D">
      <w:pPr>
        <w:pStyle w:val="Bibliography"/>
      </w:pPr>
      <w:bookmarkStart w:id="63" w:name="ref-Mosca2014"/>
      <w:bookmarkEnd w:id="62"/>
      <w:r>
        <w:t>Mosca, Elena, Santiago</w:t>
      </w:r>
      <w:r>
        <w:t xml:space="preserve"> C. González-Martínez, and David B. Neale. 2014. “Environmental versus geographical determinants of genetic structure in two subalpine conifers.” </w:t>
      </w:r>
      <w:r>
        <w:rPr>
          <w:i/>
        </w:rPr>
        <w:t>New Phytologist</w:t>
      </w:r>
      <w:r>
        <w:t xml:space="preserve"> 201 (1): 180–92. </w:t>
      </w:r>
      <w:hyperlink r:id="rId46">
        <w:r>
          <w:rPr>
            <w:rStyle w:val="Hyperlink"/>
          </w:rPr>
          <w:t>https://doi.org/10.1111/</w:t>
        </w:r>
        <w:r>
          <w:rPr>
            <w:rStyle w:val="Hyperlink"/>
          </w:rPr>
          <w:t>nph.12476</w:t>
        </w:r>
      </w:hyperlink>
      <w:r>
        <w:t>.</w:t>
      </w:r>
    </w:p>
    <w:p w14:paraId="22573A49" w14:textId="77777777" w:rsidR="000B456F" w:rsidRDefault="0032250D">
      <w:pPr>
        <w:pStyle w:val="Bibliography"/>
      </w:pPr>
      <w:bookmarkStart w:id="64" w:name="ref-Noor2001"/>
      <w:bookmarkEnd w:id="63"/>
      <w:r>
        <w:t xml:space="preserve">Noor, M. A. F., K. L. Gratos, L. A. Bertucci, and J. Reiland. 2001. “Chromosomal inversions and the reproductive isolation of species.” </w:t>
      </w:r>
      <w:r>
        <w:rPr>
          <w:i/>
        </w:rPr>
        <w:t>Proceedings of the National Academy of Sciences of the United States of America</w:t>
      </w:r>
      <w:r>
        <w:t xml:space="preserve"> 98 (21): 12084–8. </w:t>
      </w:r>
      <w:hyperlink r:id="rId47">
        <w:r>
          <w:rPr>
            <w:rStyle w:val="Hyperlink"/>
          </w:rPr>
          <w:t>https://doi.org/10.1073/pnas.221274498</w:t>
        </w:r>
      </w:hyperlink>
      <w:r>
        <w:t>.</w:t>
      </w:r>
    </w:p>
    <w:p w14:paraId="0763C3B6" w14:textId="77777777" w:rsidR="000B456F" w:rsidRDefault="0032250D">
      <w:pPr>
        <w:pStyle w:val="Bibliography"/>
      </w:pPr>
      <w:bookmarkStart w:id="65" w:name="ref-Novembre2009"/>
      <w:bookmarkEnd w:id="64"/>
      <w:r>
        <w:t xml:space="preserve">Novembre, John, and Anna Di Rienzo. 2009. “Spatial patterns of variation due to natural selection in humans.” Nat Rev Genet. </w:t>
      </w:r>
      <w:hyperlink r:id="rId48">
        <w:r>
          <w:rPr>
            <w:rStyle w:val="Hyperlink"/>
          </w:rPr>
          <w:t>https://doi.org/10.1038/nrg2632</w:t>
        </w:r>
      </w:hyperlink>
      <w:r>
        <w:t>.</w:t>
      </w:r>
    </w:p>
    <w:p w14:paraId="1957D1A5" w14:textId="77777777" w:rsidR="000B456F" w:rsidRDefault="0032250D">
      <w:pPr>
        <w:pStyle w:val="Bibliography"/>
      </w:pPr>
      <w:bookmarkStart w:id="66" w:name="ref-Pavy2012"/>
      <w:bookmarkEnd w:id="65"/>
      <w:r>
        <w:t xml:space="preserve">Pavy, N., M. C. Namroud, F. Gagnon, N. Isabel, and J. Bousquet. 2012. “The heterogeneous levels of linkage disequilibrium in white spruce genes and comparative analysis with other conifers.” </w:t>
      </w:r>
      <w:r>
        <w:rPr>
          <w:i/>
        </w:rPr>
        <w:t>Heredity</w:t>
      </w:r>
      <w:r>
        <w:t xml:space="preserve"> 108 (3): 273–84.</w:t>
      </w:r>
      <w:r>
        <w:t xml:space="preserve"> </w:t>
      </w:r>
      <w:hyperlink r:id="rId49">
        <w:r>
          <w:rPr>
            <w:rStyle w:val="Hyperlink"/>
          </w:rPr>
          <w:t>https://doi.org/10.1038/hdy.2011.72</w:t>
        </w:r>
      </w:hyperlink>
      <w:r>
        <w:t>.</w:t>
      </w:r>
    </w:p>
    <w:p w14:paraId="59126714" w14:textId="77777777" w:rsidR="000B456F" w:rsidRDefault="0032250D">
      <w:pPr>
        <w:pStyle w:val="Bibliography"/>
      </w:pPr>
      <w:bookmarkStart w:id="67" w:name="ref-Ralph2020"/>
      <w:bookmarkEnd w:id="66"/>
      <w:r>
        <w:t>Ralph, Peter, Kevin Thornton, and Jerome Kelleher. 2020. “Efficiently summarizing relationships in large samples: A general duality between statistics of genealogi</w:t>
      </w:r>
      <w:r>
        <w:t xml:space="preserve">es and genomes.” </w:t>
      </w:r>
      <w:r>
        <w:rPr>
          <w:i/>
        </w:rPr>
        <w:t>Genetics</w:t>
      </w:r>
      <w:r>
        <w:t xml:space="preserve"> 215 (3): 779–97. </w:t>
      </w:r>
      <w:hyperlink r:id="rId50">
        <w:r>
          <w:rPr>
            <w:rStyle w:val="Hyperlink"/>
          </w:rPr>
          <w:t>https://doi.org/10.1534/genetics.120.303253</w:t>
        </w:r>
      </w:hyperlink>
      <w:r>
        <w:t>.</w:t>
      </w:r>
    </w:p>
    <w:p w14:paraId="320956B0" w14:textId="77777777" w:rsidR="000B456F" w:rsidRDefault="0032250D">
      <w:pPr>
        <w:pStyle w:val="Bibliography"/>
      </w:pPr>
      <w:bookmarkStart w:id="68" w:name="ref-Rieseberg2001"/>
      <w:bookmarkEnd w:id="67"/>
      <w:r>
        <w:t xml:space="preserve">Rieseberg, Loren H. 2001. “Chromosomal rearrangements and speciation.” Elsevier. </w:t>
      </w:r>
      <w:hyperlink r:id="rId51">
        <w:r>
          <w:rPr>
            <w:rStyle w:val="Hyperlink"/>
          </w:rPr>
          <w:t>https://doi.org/10.1016/S0169-5347(01)02187-5</w:t>
        </w:r>
      </w:hyperlink>
      <w:r>
        <w:t>.</w:t>
      </w:r>
    </w:p>
    <w:p w14:paraId="2B4F7169" w14:textId="77777777" w:rsidR="000B456F" w:rsidRDefault="0032250D">
      <w:pPr>
        <w:pStyle w:val="Bibliography"/>
      </w:pPr>
      <w:bookmarkStart w:id="69" w:name="ref-Sakamoto2019"/>
      <w:bookmarkEnd w:id="68"/>
      <w:r>
        <w:lastRenderedPageBreak/>
        <w:t xml:space="preserve">Sakamoto, Takahiro, and Hideki Innan. 2019. “The evolutionary dynamics of a genetic barrier to gene flow: From the establishment to the emergence of a peak of divergence.” </w:t>
      </w:r>
      <w:r>
        <w:rPr>
          <w:i/>
        </w:rPr>
        <w:t>Genetics</w:t>
      </w:r>
      <w:r>
        <w:t xml:space="preserve"> 212 (4): 1383–98. </w:t>
      </w:r>
      <w:hyperlink r:id="rId52">
        <w:r>
          <w:rPr>
            <w:rStyle w:val="Hyperlink"/>
          </w:rPr>
          <w:t>https://doi.org/10.1534/genetics.119.302311</w:t>
        </w:r>
      </w:hyperlink>
      <w:r>
        <w:t>.</w:t>
      </w:r>
    </w:p>
    <w:p w14:paraId="21BE89F6" w14:textId="77777777" w:rsidR="000B456F" w:rsidRDefault="0032250D">
      <w:pPr>
        <w:pStyle w:val="Bibliography"/>
      </w:pPr>
      <w:bookmarkStart w:id="70" w:name="ref-Schlotterer2014"/>
      <w:bookmarkEnd w:id="69"/>
      <w:r>
        <w:t xml:space="preserve">Schlötterer, Christian, Raymond Tobler, Robert Kofler, and Viola Nolte. 2014. “Sequencing pools of individuals-mining genome-wide polymorphism data without big funding.” Nature Publishing Group. </w:t>
      </w:r>
      <w:hyperlink r:id="rId53">
        <w:r>
          <w:rPr>
            <w:rStyle w:val="Hyperlink"/>
          </w:rPr>
          <w:t>https://doi.org/10.1038/nrg3803</w:t>
        </w:r>
      </w:hyperlink>
      <w:r>
        <w:t>.</w:t>
      </w:r>
    </w:p>
    <w:p w14:paraId="25BF5A6A" w14:textId="77777777" w:rsidR="000B456F" w:rsidRDefault="0032250D">
      <w:pPr>
        <w:pStyle w:val="Bibliography"/>
      </w:pPr>
      <w:bookmarkStart w:id="71" w:name="ref-Stapley2017"/>
      <w:bookmarkEnd w:id="70"/>
      <w:r>
        <w:t>Stapley, Jessica, Philine G. D. Feulner, Susan E. Johnston, Anna W. Santure, and Carole M. Smadja. 2017. “Variation in recombination frequency and distribution across eukaryotes: Pat</w:t>
      </w:r>
      <w:r>
        <w:t xml:space="preserve">terns and processes.” </w:t>
      </w:r>
      <w:r>
        <w:rPr>
          <w:i/>
        </w:rPr>
        <w:t>Philosophical Transactions of the Royal Society B: Biological Sciences</w:t>
      </w:r>
      <w:r>
        <w:t xml:space="preserve"> 372 (1736). </w:t>
      </w:r>
      <w:hyperlink r:id="rId54">
        <w:r>
          <w:rPr>
            <w:rStyle w:val="Hyperlink"/>
          </w:rPr>
          <w:t>https://doi.org/10.1098/rstb.2016.0455</w:t>
        </w:r>
      </w:hyperlink>
      <w:r>
        <w:t>.</w:t>
      </w:r>
    </w:p>
    <w:p w14:paraId="38FC6941" w14:textId="77777777" w:rsidR="000B456F" w:rsidRDefault="0032250D">
      <w:pPr>
        <w:pStyle w:val="Bibliography"/>
      </w:pPr>
      <w:bookmarkStart w:id="72" w:name="ref-Todesco2020"/>
      <w:bookmarkEnd w:id="71"/>
      <w:r>
        <w:t xml:space="preserve">Todesco, Marco, Gregory L. Owens, Natalia Bercovich, </w:t>
      </w:r>
      <w:r>
        <w:t xml:space="preserve">Jean Sébastien Légaré, Shaghayegh Soudi, Dylan O. Burge, Kaichi Huang, et al. 2020. “Massive haplotypes underlie ecotypic differentiation in sunflowers.” </w:t>
      </w:r>
      <w:r>
        <w:rPr>
          <w:i/>
        </w:rPr>
        <w:t>Nature</w:t>
      </w:r>
      <w:r>
        <w:t xml:space="preserve"> 584 (7822): 602–7. </w:t>
      </w:r>
      <w:hyperlink r:id="rId55">
        <w:r>
          <w:rPr>
            <w:rStyle w:val="Hyperlink"/>
          </w:rPr>
          <w:t>https://doi.org</w:t>
        </w:r>
        <w:r>
          <w:rPr>
            <w:rStyle w:val="Hyperlink"/>
          </w:rPr>
          <w:t>/10.1038/s41586-020-2467-6</w:t>
        </w:r>
      </w:hyperlink>
      <w:r>
        <w:t>.</w:t>
      </w:r>
    </w:p>
    <w:p w14:paraId="465EA6CC" w14:textId="77777777" w:rsidR="000B456F" w:rsidRDefault="0032250D">
      <w:pPr>
        <w:pStyle w:val="Bibliography"/>
      </w:pPr>
      <w:bookmarkStart w:id="73" w:name="ref-Walsh"/>
      <w:bookmarkEnd w:id="72"/>
      <w:r>
        <w:t xml:space="preserve">Walsh, B., and M. Lynch. 2018. </w:t>
      </w:r>
      <w:r>
        <w:rPr>
          <w:i/>
        </w:rPr>
        <w:t>Evolution and Selection of Quantitative Traits</w:t>
      </w:r>
      <w:r>
        <w:t xml:space="preserve">. Oxford University Press. </w:t>
      </w:r>
      <w:hyperlink r:id="rId56">
        <w:r>
          <w:rPr>
            <w:rStyle w:val="Hyperlink"/>
          </w:rPr>
          <w:t>https://global.oup.com/academic/product/evolution-and-selection-of-quantitative-traits-9780198830870?cc=ca&amp;lang=en&amp;</w:t>
        </w:r>
      </w:hyperlink>
      <w:r>
        <w:t>.</w:t>
      </w:r>
    </w:p>
    <w:p w14:paraId="3831C530" w14:textId="77777777" w:rsidR="000B456F" w:rsidRDefault="0032250D">
      <w:pPr>
        <w:pStyle w:val="Bibliography"/>
      </w:pPr>
      <w:bookmarkStart w:id="74" w:name="ref-Wang2016"/>
      <w:bookmarkEnd w:id="73"/>
      <w:r>
        <w:t>Wang, Tongli, Andreas Hamann, Dave Spittlehouse, and Carlos Carroll. 2016. “Locally Downscaled and Spatially Customizable Climat</w:t>
      </w:r>
      <w:r>
        <w:t xml:space="preserve">e Data for Historical and Future Periods for North America.” Edited by Inés Álvarez. </w:t>
      </w:r>
      <w:r>
        <w:rPr>
          <w:i/>
        </w:rPr>
        <w:t>PLOS ONE</w:t>
      </w:r>
      <w:r>
        <w:t xml:space="preserve"> 11 (6): e0156720. </w:t>
      </w:r>
      <w:hyperlink r:id="rId57">
        <w:r>
          <w:rPr>
            <w:rStyle w:val="Hyperlink"/>
          </w:rPr>
          <w:t>https://doi.org/10.1371/journal.pone.0156720</w:t>
        </w:r>
      </w:hyperlink>
      <w:r>
        <w:t>.</w:t>
      </w:r>
    </w:p>
    <w:p w14:paraId="68669D8C" w14:textId="77777777" w:rsidR="000B456F" w:rsidRDefault="0032250D">
      <w:pPr>
        <w:pStyle w:val="Bibliography"/>
      </w:pPr>
      <w:bookmarkStart w:id="75" w:name="ref-Weir1984-tc"/>
      <w:bookmarkEnd w:id="74"/>
      <w:r>
        <w:t>Weir, Bruce S, and C Clark Cockerh</w:t>
      </w:r>
      <w:r>
        <w:t xml:space="preserve">am. 1984. “Estimating F-statistics for the analysis of population structure.” </w:t>
      </w:r>
      <w:r>
        <w:rPr>
          <w:i/>
        </w:rPr>
        <w:t>Evolution</w:t>
      </w:r>
      <w:r>
        <w:t xml:space="preserve"> 38 (6): 1358–70.</w:t>
      </w:r>
    </w:p>
    <w:p w14:paraId="43B6FF44" w14:textId="77777777" w:rsidR="000B456F" w:rsidRDefault="0032250D">
      <w:pPr>
        <w:pStyle w:val="Bibliography"/>
      </w:pPr>
      <w:bookmarkStart w:id="76" w:name="ref-WHITLOCK2005"/>
      <w:bookmarkEnd w:id="75"/>
      <w:r>
        <w:t xml:space="preserve">Whitlock, M. C. 2005. “Combining probability from independent tests: the weighted Z-method is superior to Fisher’s approach.” </w:t>
      </w:r>
      <w:r>
        <w:rPr>
          <w:i/>
        </w:rPr>
        <w:t>Journal of Evolutionary B</w:t>
      </w:r>
      <w:r>
        <w:rPr>
          <w:i/>
        </w:rPr>
        <w:t>iology</w:t>
      </w:r>
      <w:r>
        <w:t xml:space="preserve"> 18 (5): 1368–73. </w:t>
      </w:r>
      <w:hyperlink r:id="rId58">
        <w:r>
          <w:rPr>
            <w:rStyle w:val="Hyperlink"/>
          </w:rPr>
          <w:t>https://doi.org/10.1111/j.1420-9101.2005.00917.x</w:t>
        </w:r>
      </w:hyperlink>
      <w:r>
        <w:t>.</w:t>
      </w:r>
    </w:p>
    <w:p w14:paraId="5E6BB3C2" w14:textId="77777777" w:rsidR="000B456F" w:rsidRDefault="0032250D">
      <w:pPr>
        <w:pStyle w:val="Bibliography"/>
      </w:pPr>
      <w:bookmarkStart w:id="77" w:name="ref-Yeaman2013"/>
      <w:bookmarkEnd w:id="76"/>
      <w:r>
        <w:t xml:space="preserve">Yeaman, Sam. 2013. “Genomic rearrangements and the evolution of clusters of locally adaptive loci.” </w:t>
      </w:r>
      <w:r>
        <w:rPr>
          <w:i/>
        </w:rPr>
        <w:t>Proceedings of</w:t>
      </w:r>
      <w:r>
        <w:rPr>
          <w:i/>
        </w:rPr>
        <w:t xml:space="preserve"> the National Academy of Sciences of the United States of America</w:t>
      </w:r>
      <w:r>
        <w:t xml:space="preserve"> 110 (19): E1743–E1751. </w:t>
      </w:r>
      <w:hyperlink r:id="rId59">
        <w:r>
          <w:rPr>
            <w:rStyle w:val="Hyperlink"/>
          </w:rPr>
          <w:t>https://doi.org/10.1073/pnas.1219381110</w:t>
        </w:r>
      </w:hyperlink>
      <w:r>
        <w:t>.</w:t>
      </w:r>
    </w:p>
    <w:p w14:paraId="64DC146F" w14:textId="77777777" w:rsidR="000B456F" w:rsidRDefault="0032250D">
      <w:pPr>
        <w:pStyle w:val="Bibliography"/>
      </w:pPr>
      <w:bookmarkStart w:id="78" w:name="ref-Yeaman2018"/>
      <w:bookmarkEnd w:id="77"/>
      <w:r>
        <w:t>Yeaman, Sam, Aleeza C. Gerstein, Kathryn A. Hodgins, and Michael C.</w:t>
      </w:r>
      <w:r>
        <w:t xml:space="preserve"> Whitlock. 2018. “Quantifying how constraints limit the diversity of viable routes to adaptation.” </w:t>
      </w:r>
      <w:r>
        <w:rPr>
          <w:i/>
        </w:rPr>
        <w:t>PLoS Genetics</w:t>
      </w:r>
      <w:r>
        <w:t xml:space="preserve"> 14 (10): e1007717. </w:t>
      </w:r>
      <w:hyperlink r:id="rId60">
        <w:r>
          <w:rPr>
            <w:rStyle w:val="Hyperlink"/>
          </w:rPr>
          <w:t>https://doi.org/10.1371/journal.pgen.1007717</w:t>
        </w:r>
      </w:hyperlink>
      <w:r>
        <w:t>.</w:t>
      </w:r>
    </w:p>
    <w:p w14:paraId="6A08C2EF" w14:textId="77777777" w:rsidR="000B456F" w:rsidRDefault="0032250D">
      <w:pPr>
        <w:pStyle w:val="Bibliography"/>
      </w:pPr>
      <w:bookmarkStart w:id="79" w:name="ref-Yeaman2016"/>
      <w:bookmarkEnd w:id="78"/>
      <w:r>
        <w:t>Yeaman, Sam, K</w:t>
      </w:r>
      <w:r>
        <w:t xml:space="preserve">athryn A. Hodgins, Katie E. Lotterhos, Haktan Suren, Simon Nadeau, Jon C. Degner, Kristin A. Nurkowski, et al. 2016. “Convergent local adaptation to climate in distantly related conifers.” </w:t>
      </w:r>
      <w:r>
        <w:rPr>
          <w:i/>
        </w:rPr>
        <w:t>Science</w:t>
      </w:r>
      <w:r>
        <w:t xml:space="preserve"> 353 (6306): 1431–3. </w:t>
      </w:r>
      <w:hyperlink r:id="rId61">
        <w:r>
          <w:rPr>
            <w:rStyle w:val="Hyperlink"/>
          </w:rPr>
          <w:t>https://doi.org/10.1126/science.aaf7812</w:t>
        </w:r>
      </w:hyperlink>
      <w:r>
        <w:t>.</w:t>
      </w:r>
    </w:p>
    <w:p w14:paraId="6D2B3824" w14:textId="77777777" w:rsidR="000B456F" w:rsidRDefault="0032250D">
      <w:pPr>
        <w:pStyle w:val="Bibliography"/>
      </w:pPr>
      <w:bookmarkStart w:id="80" w:name="ref-Zhou2013"/>
      <w:bookmarkEnd w:id="79"/>
      <w:r>
        <w:lastRenderedPageBreak/>
        <w:t xml:space="preserve">Zhou, Xiang, Peter Carbonetto, and Matthew Stephens. 2013. “Polygenic Modeling with Bayesian Sparse Linear Mixed Models.” </w:t>
      </w:r>
      <w:r>
        <w:rPr>
          <w:i/>
        </w:rPr>
        <w:t>PLoS Genetics</w:t>
      </w:r>
      <w:r>
        <w:t xml:space="preserve"> 9 (2): 1003264. </w:t>
      </w:r>
      <w:hyperlink r:id="rId62">
        <w:r>
          <w:rPr>
            <w:rStyle w:val="Hyperlink"/>
          </w:rPr>
          <w:t>https://doi.org/10.1371/journal.pgen.1003264</w:t>
        </w:r>
      </w:hyperlink>
      <w:r>
        <w:t>.</w:t>
      </w:r>
      <w:bookmarkEnd w:id="38"/>
      <w:bookmarkEnd w:id="80"/>
    </w:p>
    <w:sectPr w:rsidR="000B45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97998" w14:textId="77777777" w:rsidR="0032250D" w:rsidRDefault="0032250D">
      <w:pPr>
        <w:spacing w:after="0"/>
      </w:pPr>
      <w:r>
        <w:separator/>
      </w:r>
    </w:p>
  </w:endnote>
  <w:endnote w:type="continuationSeparator" w:id="0">
    <w:p w14:paraId="1C3F52F2" w14:textId="77777777" w:rsidR="0032250D" w:rsidRDefault="003225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3D07A" w14:textId="77777777" w:rsidR="0032250D" w:rsidRDefault="0032250D">
      <w:r>
        <w:separator/>
      </w:r>
    </w:p>
  </w:footnote>
  <w:footnote w:type="continuationSeparator" w:id="0">
    <w:p w14:paraId="7CD836C0" w14:textId="77777777" w:rsidR="0032250D" w:rsidRDefault="003225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456F"/>
    <w:rsid w:val="00276073"/>
    <w:rsid w:val="0032250D"/>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6C062A"/>
  <w15:docId w15:val="{09EC0997-E59C-E044-85F4-3E84F9E79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01/gr.154831.113" TargetMode="External"/><Relationship Id="rId39" Type="http://schemas.openxmlformats.org/officeDocument/2006/relationships/hyperlink" Target="https://doi.org/10.1086/688018" TargetMode="External"/><Relationship Id="rId21" Type="http://schemas.openxmlformats.org/officeDocument/2006/relationships/image" Target="media/image13.emf"/><Relationship Id="rId34" Type="http://schemas.openxmlformats.org/officeDocument/2006/relationships/hyperlink" Target="https://doi.org/10.1534/genetics.115.181453" TargetMode="External"/><Relationship Id="rId42" Type="http://schemas.openxmlformats.org/officeDocument/2006/relationships/hyperlink" Target="https://www.elsevier.com/books/numerical-ecology/legendre/978-0-444-53868-0" TargetMode="External"/><Relationship Id="rId47" Type="http://schemas.openxmlformats.org/officeDocument/2006/relationships/hyperlink" Target="https://doi.org/10.1073/pnas.221274498" TargetMode="External"/><Relationship Id="rId50" Type="http://schemas.openxmlformats.org/officeDocument/2006/relationships/hyperlink" Target="https://doi.org/10.1534/genetics.120.303253" TargetMode="External"/><Relationship Id="rId55" Type="http://schemas.openxmlformats.org/officeDocument/2006/relationships/hyperlink" Target="https://doi.org/10.1038/s41586-020-2467-6" TargetMode="External"/><Relationship Id="rId63" Type="http://schemas.openxmlformats.org/officeDocument/2006/relationships/fontTable" Target="fontTable.xml"/><Relationship Id="rId7" Type="http://schemas.openxmlformats.org/officeDocument/2006/relationships/hyperlink" Target="https://pyslim.readthedocs.io/en/latest/" TargetMode="Externa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hyperlink" Target="https://doi.org/10.1534/genetics.110.114819" TargetMode="Externa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hyperlink" Target="https://doi.org/10.1111/2041-210X.12382" TargetMode="External"/><Relationship Id="rId37" Type="http://schemas.openxmlformats.org/officeDocument/2006/relationships/hyperlink" Target="https://doi.org/10.1016/j.tig.2019.12.008" TargetMode="External"/><Relationship Id="rId40" Type="http://schemas.openxmlformats.org/officeDocument/2006/relationships/hyperlink" Target="https://doi.org/10.1534/genetics.105.047985" TargetMode="External"/><Relationship Id="rId45" Type="http://schemas.openxmlformats.org/officeDocument/2006/relationships/hyperlink" Target="https://doi.org/10.1126/sciadv.aav9963" TargetMode="External"/><Relationship Id="rId53" Type="http://schemas.openxmlformats.org/officeDocument/2006/relationships/hyperlink" Target="https://doi.org/10.1038/nrg3803" TargetMode="External"/><Relationship Id="rId58" Type="http://schemas.openxmlformats.org/officeDocument/2006/relationships/hyperlink" Target="https://doi.org/10.1111/j.1420-9101.2005.00917.x" TargetMode="External"/><Relationship Id="rId5" Type="http://schemas.openxmlformats.org/officeDocument/2006/relationships/footnotes" Target="footnotes.xml"/><Relationship Id="rId61" Type="http://schemas.openxmlformats.org/officeDocument/2006/relationships/hyperlink" Target="https://doi.org/10.1126/science.aaf7812" TargetMode="Externa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https://doi.org/10.1101/2020.11.01.364349" TargetMode="External"/><Relationship Id="rId30" Type="http://schemas.openxmlformats.org/officeDocument/2006/relationships/hyperlink" Target="https://doi.org/10.1111/mec.13476" TargetMode="External"/><Relationship Id="rId35" Type="http://schemas.openxmlformats.org/officeDocument/2006/relationships/hyperlink" Target="https://doi.org/10.1007/BF02986626" TargetMode="External"/><Relationship Id="rId43" Type="http://schemas.openxmlformats.org/officeDocument/2006/relationships/hyperlink" Target="https://doi.org/10.1111/j.1365-294X.2012.05578.x" TargetMode="External"/><Relationship Id="rId48" Type="http://schemas.openxmlformats.org/officeDocument/2006/relationships/hyperlink" Target="https://doi.org/10.1038/nrg2632" TargetMode="External"/><Relationship Id="rId56" Type="http://schemas.openxmlformats.org/officeDocument/2006/relationships/hyperlink" Target="https://global.oup.com/academic/product/evolution-and-selection-of-quantitative-traits-9780198830870?cc=ca&amp;lang=en&amp;" TargetMode="External"/><Relationship Id="rId64" Type="http://schemas.openxmlformats.org/officeDocument/2006/relationships/theme" Target="theme/theme1.xml"/><Relationship Id="rId8" Type="http://schemas.openxmlformats.org/officeDocument/2006/relationships/hyperlink" Target="github/TBooker/GEA/WZA" TargetMode="External"/><Relationship Id="rId51" Type="http://schemas.openxmlformats.org/officeDocument/2006/relationships/hyperlink" Target="https://doi.org/10.1016/S0169-5347(01)02187-5"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s://doi.org/10.1038/hdy.1986.135" TargetMode="External"/><Relationship Id="rId33" Type="http://schemas.openxmlformats.org/officeDocument/2006/relationships/hyperlink" Target="https://doi.org/10.1093/molbev/mst063" TargetMode="External"/><Relationship Id="rId38" Type="http://schemas.openxmlformats.org/officeDocument/2006/relationships/hyperlink" Target="https://doi.org/10.1086/597611" TargetMode="External"/><Relationship Id="rId46" Type="http://schemas.openxmlformats.org/officeDocument/2006/relationships/hyperlink" Target="https://doi.org/10.1111/nph.12476" TargetMode="External"/><Relationship Id="rId59" Type="http://schemas.openxmlformats.org/officeDocument/2006/relationships/hyperlink" Target="https://doi.org/10.1073/pnas.1219381110" TargetMode="External"/><Relationship Id="rId20" Type="http://schemas.openxmlformats.org/officeDocument/2006/relationships/image" Target="media/image12.emf"/><Relationship Id="rId41" Type="http://schemas.openxmlformats.org/officeDocument/2006/relationships/hyperlink" Target="https://doi.org/10.1093/molbev/msj057" TargetMode="External"/><Relationship Id="rId54" Type="http://schemas.openxmlformats.org/officeDocument/2006/relationships/hyperlink" Target="https://doi.org/10.1098/rstb.2016.0455" TargetMode="External"/><Relationship Id="rId62" Type="http://schemas.openxmlformats.org/officeDocument/2006/relationships/hyperlink" Target="https://doi.org/10.1371/journal.pgen.100326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doi.org/10.1111/mec.15501" TargetMode="External"/><Relationship Id="rId36" Type="http://schemas.openxmlformats.org/officeDocument/2006/relationships/hyperlink" Target="https://doi.org/10.1126/science.1209244" TargetMode="External"/><Relationship Id="rId49" Type="http://schemas.openxmlformats.org/officeDocument/2006/relationships/hyperlink" Target="https://doi.org/10.1038/hdy.2011.72" TargetMode="External"/><Relationship Id="rId57" Type="http://schemas.openxmlformats.org/officeDocument/2006/relationships/hyperlink" Target="https://doi.org/10.1371/journal.pone.0156720" TargetMode="External"/><Relationship Id="rId10" Type="http://schemas.openxmlformats.org/officeDocument/2006/relationships/image" Target="media/image2.emf"/><Relationship Id="rId31" Type="http://schemas.openxmlformats.org/officeDocument/2006/relationships/hyperlink" Target="https://doi.org/10.1111/mec.14584" TargetMode="External"/><Relationship Id="rId44" Type="http://schemas.openxmlformats.org/officeDocument/2006/relationships/hyperlink" Target="https://doi.org/10.1038/sj.hdy.6800987" TargetMode="External"/><Relationship Id="rId52" Type="http://schemas.openxmlformats.org/officeDocument/2006/relationships/hyperlink" Target="https://doi.org/10.1534/genetics.119.302311" TargetMode="External"/><Relationship Id="rId60" Type="http://schemas.openxmlformats.org/officeDocument/2006/relationships/hyperlink" Target="https://doi.org/10.1371/journal.pgen.1007717" TargetMode="External"/><Relationship Id="rId4" Type="http://schemas.openxmlformats.org/officeDocument/2006/relationships/webSettings" Target="web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11946</Words>
  <Characters>68095</Characters>
  <Application>Microsoft Office Word</Application>
  <DocSecurity>0</DocSecurity>
  <Lines>567</Lines>
  <Paragraphs>159</Paragraphs>
  <ScaleCrop>false</ScaleCrop>
  <Company/>
  <LinksUpToDate>false</LinksUpToDate>
  <CharactersWithSpaces>79882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window-based approach for genotype-environment association studies: Or a different, snappier title</dc:title>
  <dc:creator>Tom R. Booker; Samuel Yeaman; Michael C. Whitlock</dc:creator>
  <cp:keywords/>
  <cp:lastModifiedBy>Tom Booker</cp:lastModifiedBy>
  <cp:revision>2</cp:revision>
  <dcterms:created xsi:type="dcterms:W3CDTF">2021-05-06T23:08:00Z</dcterms:created>
  <dcterms:modified xsi:type="dcterms:W3CDTF">2021-05-06T23:08:00Z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ies>
</file>