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26.png" ContentType="image/png"/>
  <Override PartName="/word/media/rId42.png" ContentType="image/png"/>
  <Override PartName="/word/media/rId54.png" ContentType="image/png"/>
  <Override PartName="/word/media/rId46.png" ContentType="image/png"/>
  <Override PartName="/word/media/rId48.png" ContentType="image/png"/>
  <Override PartName="/word/media/rId50.png" ContentType="image/png"/>
  <Override PartName="/word/media/rId52.png" ContentType="image/png"/>
  <Override PartName="/word/media/rId32.png" ContentType="image/png"/>
  <Override PartName="/word/media/rId34.png" ContentType="image/png"/>
  <Override PartName="/word/media/rId44.png" ContentType="image/png"/>
  <Override PartName="/word/media/rId40.png" ContentType="image/png"/>
  <Override PartName="/word/media/rId38.png" ContentType="image/png"/>
  <Override PartName="/word/media/rId36.png" ContentType="image/png"/>
  <Override PartName="/word/media/image3.png" ContentType="image/png"/>
  <Override PartName="/word/media/image1.png" ContentType="image/png"/>
  <Override PartName="/word/media/image4.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disturbance-and-recovery-of-mouse-gut-microbiota-in-response-to-antibiotics."/>
      <w:bookmarkEnd w:id="21"/>
      <w:r>
        <w:t xml:space="preserve">Disturbance and recovery of mouse gut microbiota in response to antibiotics.</w:t>
      </w:r>
    </w:p>
    <w:p>
      <w:pPr>
        <w:pStyle w:val="FirstParagraph"/>
      </w:pPr>
    </w:p>
    <w:p>
      <w:pPr>
        <w:pStyle w:val="BodyText"/>
      </w:pPr>
      <w:r>
        <w:t xml:space="preserve">John Guittar</w:t>
      </w:r>
      <w:r>
        <w:rPr>
          <w:vertAlign w:val="superscript"/>
        </w:rPr>
        <w:t xml:space="preserve">1,*</w:t>
      </w:r>
      <w:r>
        <w:t xml:space="preserve">, Aspen Reese</w:t>
      </w:r>
      <w:r>
        <w:rPr>
          <w:vertAlign w:val="superscript"/>
        </w:rPr>
        <w:t xml:space="preserve">2</w:t>
      </w:r>
      <w:r>
        <w:t xml:space="preserve">, Lawrence David</w:t>
      </w:r>
      <w:r>
        <w:rPr>
          <w:vertAlign w:val="superscript"/>
        </w:rPr>
        <w:t xml:space="preserve">3</w:t>
      </w:r>
      <w:r>
        <w:t xml:space="preserve">, Timothy Brennhofer</w:t>
      </w:r>
      <w:r>
        <w:rPr>
          <w:vertAlign w:val="superscript"/>
        </w:rPr>
        <w:t xml:space="preserve">1,4</w:t>
      </w:r>
      <w:r>
        <w:t xml:space="preserve">, Ashley Shade</w:t>
      </w:r>
      <w:r>
        <w:rPr>
          <w:vertAlign w:val="superscript"/>
        </w:rPr>
        <w:t xml:space="preserve">5,6</w:t>
      </w:r>
      <w:r>
        <w:t xml:space="preserve">, Elena Litchman</w:t>
      </w:r>
      <w:r>
        <w:rPr>
          <w:vertAlign w:val="superscript"/>
        </w:rPr>
        <w:t xml:space="preserve">1,6,7</w:t>
      </w:r>
    </w:p>
    <w:p>
      <w:pPr>
        <w:pStyle w:val="BodyText"/>
      </w:pPr>
    </w:p>
    <w:p>
      <w:pPr>
        <w:pStyle w:val="BodyText"/>
      </w:pPr>
      <w:r>
        <w:rPr>
          <w:vertAlign w:val="superscript"/>
        </w:rPr>
        <w:t xml:space="preserve">1</w:t>
      </w:r>
      <w:r>
        <w:t xml:space="preserve"> </w:t>
      </w:r>
      <w:r>
        <w:t xml:space="preserve">Kellogg Biological Station, Michigan State University, 3700 E Gull Lake Dr, Hickory Corners, MI 49060, USA</w:t>
      </w:r>
    </w:p>
    <w:p>
      <w:pPr>
        <w:pStyle w:val="BodyText"/>
      </w:pPr>
      <w:r>
        <w:rPr>
          <w:vertAlign w:val="superscript"/>
        </w:rPr>
        <w:t xml:space="preserve">2</w:t>
      </w:r>
      <w:r>
        <w:t xml:space="preserve"> </w:t>
      </w:r>
      <w:r>
        <w:t xml:space="preserve">Harvard University, Cambridge, MA 02138, USA</w:t>
      </w:r>
    </w:p>
    <w:p>
      <w:pPr>
        <w:pStyle w:val="BodyText"/>
      </w:pPr>
      <w:r>
        <w:rPr>
          <w:vertAlign w:val="superscript"/>
        </w:rPr>
        <w:t xml:space="preserve">3</w:t>
      </w:r>
      <w:r>
        <w:t xml:space="preserve"> </w:t>
      </w:r>
      <w:r>
        <w:t xml:space="preserve">Department of Molecular Genetics and Microbiology, Duke University, Box 3382, Durham, 11 NC 27708, USA</w:t>
      </w:r>
    </w:p>
    <w:p>
      <w:pPr>
        <w:pStyle w:val="BodyText"/>
      </w:pPr>
      <w:r>
        <w:rPr>
          <w:vertAlign w:val="superscript"/>
        </w:rPr>
        <w:t xml:space="preserve">4</w:t>
      </w:r>
      <w:r>
        <w:t xml:space="preserve"> </w:t>
      </w:r>
      <w:r>
        <w:t xml:space="preserve">Grinnell College, 1115 8th Ave, Grinnell, IA 50112, USA</w:t>
      </w:r>
    </w:p>
    <w:p>
      <w:pPr>
        <w:pStyle w:val="BodyText"/>
      </w:pPr>
      <w:r>
        <w:rPr>
          <w:vertAlign w:val="superscript"/>
        </w:rPr>
        <w:t xml:space="preserve">5</w:t>
      </w:r>
      <w:r>
        <w:t xml:space="preserve"> </w:t>
      </w:r>
      <w:r>
        <w:t xml:space="preserve">Department of Microbiology and Molecular Genetics, Department of Plant, Soil and Microbial Sciences, and The Plant Resilience Institute, Michigan State University, East Lansing MI 48840, USA</w:t>
      </w:r>
    </w:p>
    <w:p>
      <w:pPr>
        <w:pStyle w:val="BodyText"/>
      </w:pPr>
      <w:r>
        <w:rPr>
          <w:vertAlign w:val="superscript"/>
        </w:rPr>
        <w:t xml:space="preserve">6</w:t>
      </w:r>
      <w:r>
        <w:t xml:space="preserve"> </w:t>
      </w:r>
      <w:r>
        <w:t xml:space="preserve">Program in Ecology, Evolutionary Biology and Behavior, Michigan State University East Lansing MI 48840, USA</w:t>
      </w:r>
    </w:p>
    <w:p>
      <w:pPr>
        <w:pStyle w:val="BodyText"/>
      </w:pPr>
      <w:r>
        <w:rPr>
          <w:vertAlign w:val="superscript"/>
        </w:rPr>
        <w:t xml:space="preserve">7</w:t>
      </w:r>
      <w:r>
        <w:t xml:space="preserve"> </w:t>
      </w:r>
      <w:r>
        <w:t xml:space="preserve">Department of Integrative Biology, Michigan State University, East Lansing, MI 48824, USA</w:t>
      </w:r>
    </w:p>
    <w:p>
      <w:pPr>
        <w:pStyle w:val="BodyText"/>
      </w:pPr>
      <w:r>
        <w:rPr>
          <w:vertAlign w:val="superscript"/>
        </w:rPr>
        <w:t xml:space="preserve">*</w:t>
      </w:r>
      <w:r>
        <w:t xml:space="preserve"> </w:t>
      </w:r>
      <w:r>
        <w:t xml:space="preserve">Correspondence author: E-mail:</w:t>
      </w:r>
      <w:r>
        <w:t xml:space="preserve"> </w:t>
      </w:r>
      <w:hyperlink r:id="rId22">
        <w:r>
          <w:rPr>
            <w:rStyle w:val="Hyperlink"/>
          </w:rPr>
          <w:t xml:space="preserve">guittarj@msu.edu</w:t>
        </w:r>
      </w:hyperlink>
    </w:p>
    <w:p>
      <w:pPr>
        <w:pStyle w:val="BodyText"/>
      </w:pPr>
    </w:p>
    <w:p>
      <w:pPr>
        <w:pStyle w:val="Heading1"/>
      </w:pPr>
      <w:bookmarkStart w:id="23" w:name="abstract"/>
      <w:bookmarkEnd w:id="23"/>
      <w:r>
        <w:t xml:space="preserve">Abstract</w:t>
      </w:r>
    </w:p>
    <w:p>
      <w:pPr>
        <w:pStyle w:val="FirstParagraph"/>
      </w:pPr>
    </w:p>
    <w:p>
      <w:pPr>
        <w:pStyle w:val="Heading1"/>
      </w:pPr>
      <w:bookmarkStart w:id="24" w:name="introduction"/>
      <w:bookmarkEnd w:id="24"/>
      <w:r>
        <w:t xml:space="preserve">Introduction</w:t>
      </w:r>
    </w:p>
    <w:p>
      <w:pPr>
        <w:pStyle w:val="Compact"/>
        <w:numPr>
          <w:numId w:val="1001"/>
          <w:ilvl w:val="0"/>
        </w:numPr>
      </w:pPr>
      <w:r>
        <w:t xml:space="preserve">We want to improve our understanding of antibiotic disturbance and recovery in the mammalian gut.</w:t>
      </w:r>
    </w:p>
    <w:p>
      <w:pPr>
        <w:pStyle w:val="Compact"/>
        <w:numPr>
          <w:numId w:val="1001"/>
          <w:ilvl w:val="0"/>
        </w:numPr>
      </w:pPr>
      <w:r>
        <w:t xml:space="preserve">Most work in this area has focused on shifts in abundance at coarse taxonomic scales. We want to look at disturbance and recovery at the OTU scale, in order to more explicitly examine ecological dynamics.</w:t>
      </w:r>
    </w:p>
    <w:p>
      <w:pPr>
        <w:pStyle w:val="Compact"/>
        <w:numPr>
          <w:numId w:val="1001"/>
          <w:ilvl w:val="0"/>
        </w:numPr>
      </w:pPr>
      <w:r>
        <w:t xml:space="preserve">One way to better understand ecological mechanisms is to focus on traits. For example, in plant systems, traits related to dispersal ability and rapid growth are often associated with early colonists to distubed areas. Indeed, these traits often form a syndrome characteristic of pioneer species.</w:t>
      </w:r>
    </w:p>
    <w:p>
      <w:pPr>
        <w:pStyle w:val="Compact"/>
        <w:numPr>
          <w:numId w:val="1001"/>
          <w:ilvl w:val="0"/>
        </w:numPr>
      </w:pPr>
      <w:r>
        <w:t xml:space="preserve">Colonization of the gut after disturbance my be particularly difficult, because it is an abiotic community with strong impediments to dispersal. Spores have been hypothesized to be a life history trait that enhances the probability of dispersal among hosts.</w:t>
      </w:r>
    </w:p>
    <w:p>
      <w:pPr>
        <w:pStyle w:val="FirstParagraph"/>
      </w:pPr>
    </w:p>
    <w:p>
      <w:pPr>
        <w:pStyle w:val="Heading2"/>
      </w:pPr>
      <w:bookmarkStart w:id="25" w:name="questions"/>
      <w:bookmarkEnd w:id="25"/>
      <w:r>
        <w:rPr>
          <w:i/>
        </w:rPr>
        <w:t xml:space="preserve">Questions:</w:t>
      </w:r>
    </w:p>
    <w:p>
      <w:pPr>
        <w:numPr>
          <w:numId w:val="1002"/>
          <w:ilvl w:val="0"/>
        </w:numPr>
      </w:pPr>
      <w:r>
        <w:t xml:space="preserve">Which traits (other than antibiotic resistance) predict OTU tolerance/susceptibility to antibiotics?</w:t>
      </w:r>
    </w:p>
    <w:p>
      <w:pPr>
        <w:numPr>
          <w:numId w:val="1002"/>
          <w:ilvl w:val="0"/>
        </w:numPr>
      </w:pPr>
      <w:r>
        <w:t xml:space="preserve">Which traits predict recovery after antibiotic disturbances?</w:t>
      </w:r>
    </w:p>
    <w:p>
      <w:pPr>
        <w:numPr>
          <w:numId w:val="1002"/>
          <w:ilvl w:val="0"/>
        </w:numPr>
      </w:pPr>
      <w:r>
        <w:t xml:space="preserve">Which traits predict successful immigration from the regional pool during the recovery process?</w:t>
      </w:r>
    </w:p>
    <w:p>
      <w:pPr>
        <w:pStyle w:val="FirstParagraph"/>
      </w:pPr>
      <w:r>
        <w:t xml:space="preserve">              - Are these traits related to dispersal ability and rapid growth, as expected?</w:t>
      </w:r>
    </w:p>
    <w:p>
      <w:pPr>
        <w:pStyle w:val="BodyText"/>
      </w:pPr>
    </w:p>
    <w:p>
      <w:pPr>
        <w:pStyle w:val="BodyText"/>
      </w:pPr>
      <w:r>
        <w:t xml:space="preserve">To answer these questions, we will use data from</w:t>
      </w:r>
      <w:r>
        <w:t xml:space="preserve"> </w:t>
      </w:r>
      <w:r>
        <w:t xml:space="preserve">Reese et al. (2018)</w:t>
      </w:r>
      <w:r>
        <w:t xml:space="preserve">.</w:t>
      </w:r>
    </w:p>
    <w:p>
      <w:pPr>
        <w:pStyle w:val="BodyText"/>
      </w:pPr>
    </w:p>
    <w:p>
      <w:pPr>
        <w:pStyle w:val="BodyText"/>
      </w:pPr>
      <w:r>
        <w:t xml:space="preserve">Another way to frame many of these questions is: can OTU traits help to predict the boxes into which OTUs fall in the following diagram:</w:t>
      </w:r>
    </w:p>
    <w:p>
      <w:pPr>
        <w:pStyle w:val="Figure"/>
      </w:pPr>
      <w:r>
        <w:drawing>
          <wp:inline>
            <wp:extent cx="5943600" cy="3138714"/>
            <wp:effectExtent b="0" l="0" r="0" t="0"/>
            <wp:docPr descr="" title="" id="1" name="Picture"/>
            <a:graphic>
              <a:graphicData uri="http://schemas.openxmlformats.org/drawingml/2006/picture">
                <pic:pic>
                  <pic:nvPicPr>
                    <pic:cNvPr descr="images/winners_losers.png" id="0" name="Picture"/>
                    <pic:cNvPicPr>
                      <a:picLocks noChangeArrowheads="1" noChangeAspect="1"/>
                    </pic:cNvPicPr>
                  </pic:nvPicPr>
                  <pic:blipFill>
                    <a:blip r:embed="rId26"/>
                    <a:stretch>
                      <a:fillRect/>
                    </a:stretch>
                  </pic:blipFill>
                  <pic:spPr bwMode="auto">
                    <a:xfrm>
                      <a:off x="0" y="0"/>
                      <a:ext cx="5943600" cy="3138714"/>
                    </a:xfrm>
                    <a:prstGeom prst="rect">
                      <a:avLst/>
                    </a:prstGeom>
                    <a:noFill/>
                    <a:ln w="9525">
                      <a:noFill/>
                      <a:headEnd/>
                      <a:tailEnd/>
                    </a:ln>
                  </pic:spPr>
                </pic:pic>
              </a:graphicData>
            </a:graphic>
          </wp:inline>
        </w:drawing>
      </w:r>
    </w:p>
    <w:p>
      <w:pPr>
        <w:pStyle w:val="FirstParagraph"/>
      </w:pPr>
      <w:r>
        <w:rPr>
          <w:b/>
        </w:rPr>
        <w:t xml:space="preserve">Figure 1:</w:t>
      </w:r>
      <w:r>
        <w:t xml:space="preserve"> </w:t>
      </w:r>
      <w:r>
        <w:t xml:space="preserve">The potential fates and fortunes of OTUs in mice treated with antibiotics. Positive outcomes are shaded light green, whereas negative outcomes are shaded light red.</w:t>
      </w:r>
    </w:p>
    <w:p>
      <w:pPr>
        <w:pStyle w:val="Heading6"/>
      </w:pPr>
      <w:bookmarkStart w:id="27" w:name="section"/>
      <w:bookmarkEnd w:id="27"/>
    </w:p>
    <w:p>
      <w:pPr>
        <w:pStyle w:val="Figure"/>
      </w:pPr>
      <w:r>
        <w:drawing>
          <wp:inline>
            <wp:extent cx="5943600" cy="2674620"/>
            <wp:effectExtent b="0" l="0" r="0" t="0"/>
            <wp:docPr descr="" title="" id="1" name="Picture"/>
            <a:graphic>
              <a:graphicData uri="http://schemas.openxmlformats.org/drawingml/2006/picture">
                <pic:pic>
                  <pic:nvPicPr>
                    <pic:cNvPr descr="images/setup_Reese2018.png" id="0" name="Picture"/>
                    <pic:cNvPicPr>
                      <a:picLocks noChangeArrowheads="1" noChangeAspect="1"/>
                    </pic:cNvPicPr>
                  </pic:nvPicPr>
                  <pic:blipFill>
                    <a:blip r:embed="rId28"/>
                    <a:stretch>
                      <a:fillRect/>
                    </a:stretch>
                  </pic:blipFill>
                  <pic:spPr bwMode="auto">
                    <a:xfrm>
                      <a:off x="0" y="0"/>
                      <a:ext cx="5943600" cy="2674620"/>
                    </a:xfrm>
                    <a:prstGeom prst="rect">
                      <a:avLst/>
                    </a:prstGeom>
                    <a:noFill/>
                    <a:ln w="9525">
                      <a:noFill/>
                      <a:headEnd/>
                      <a:tailEnd/>
                    </a:ln>
                  </pic:spPr>
                </pic:pic>
              </a:graphicData>
            </a:graphic>
          </wp:inline>
        </w:drawing>
      </w:r>
    </w:p>
    <w:p>
      <w:pPr>
        <w:pStyle w:val="FirstParagraph"/>
      </w:pPr>
      <w:r>
        <w:rPr>
          <w:b/>
        </w:rPr>
        <w:t xml:space="preserve">Figure 2:</w:t>
      </w:r>
      <w:r>
        <w:t xml:space="preserve"> </w:t>
      </w:r>
      <w:r>
        <w:t xml:space="preserve">A figure drawn from</w:t>
      </w:r>
      <w:r>
        <w:t xml:space="preserve"> </w:t>
      </w:r>
      <w:r>
        <w:t xml:space="preserve">Reese et al. (2018)</w:t>
      </w:r>
      <w:r>
        <w:t xml:space="preserve"> </w:t>
      </w:r>
      <w:r>
        <w:t xml:space="preserve">showing the experimental setup and data collection schedule.</w:t>
      </w:r>
    </w:p>
    <w:p>
      <w:pPr>
        <w:pStyle w:val="Heading6"/>
      </w:pPr>
      <w:bookmarkStart w:id="29" w:name="section-1"/>
      <w:bookmarkEnd w:id="29"/>
    </w:p>
    <w:p>
      <w:pPr>
        <w:pStyle w:val="FirstParagraph"/>
      </w:pPr>
    </w:p>
    <w:p>
      <w:pPr>
        <w:pStyle w:val="Heading1"/>
      </w:pPr>
      <w:bookmarkStart w:id="30" w:name="methods"/>
      <w:bookmarkEnd w:id="30"/>
      <w:r>
        <w:t xml:space="preserve">Methods</w:t>
      </w:r>
    </w:p>
    <w:p>
      <w:pPr>
        <w:pStyle w:val="FirstParagraph"/>
      </w:pPr>
    </w:p>
    <w:p>
      <w:pPr>
        <w:pStyle w:val="Heading1"/>
      </w:pPr>
      <w:bookmarkStart w:id="31" w:name="results"/>
      <w:bookmarkEnd w:id="31"/>
      <w:r>
        <w:t xml:space="preserve">Results</w:t>
      </w:r>
    </w:p>
    <w:p>
      <w:pPr>
        <w:pStyle w:val="Heading6"/>
      </w:pPr>
      <w:bookmarkStart w:id="33" w:name="section-2"/>
      <w:bookmarkEnd w:id="33"/>
      <w:r>
        <w:drawing>
          <wp:inline>
            <wp:extent cx="5943600" cy="6792685"/>
            <wp:effectExtent b="0" l="0" r="0" t="0"/>
            <wp:docPr descr="" title="" id="1" name="Picture"/>
            <a:graphic>
              <a:graphicData uri="http://schemas.openxmlformats.org/drawingml/2006/picture">
                <pic:pic>
                  <pic:nvPicPr>
                    <pic:cNvPr descr="images\figPCoAPaired.png" id="0" name="Picture"/>
                    <pic:cNvPicPr>
                      <a:picLocks noChangeArrowheads="1" noChangeAspect="1"/>
                    </pic:cNvPicPr>
                  </pic:nvPicPr>
                  <pic:blipFill>
                    <a:blip r:embed="rId32"/>
                    <a:stretch>
                      <a:fillRect/>
                    </a:stretch>
                  </pic:blipFill>
                  <pic:spPr bwMode="auto">
                    <a:xfrm>
                      <a:off x="0" y="0"/>
                      <a:ext cx="5943600" cy="6792685"/>
                    </a:xfrm>
                    <a:prstGeom prst="rect">
                      <a:avLst/>
                    </a:prstGeom>
                    <a:noFill/>
                    <a:ln w="9525">
                      <a:noFill/>
                      <a:headEnd/>
                      <a:tailEnd/>
                    </a:ln>
                  </pic:spPr>
                </pic:pic>
              </a:graphicData>
            </a:graphic>
          </wp:inline>
        </w:drawing>
      </w:r>
    </w:p>
    <w:p>
      <w:pPr>
        <w:pStyle w:val="FirstParagraph"/>
      </w:pPr>
      <w:r>
        <w:rPr>
          <w:b/>
        </w:rPr>
        <w:t xml:space="preserve">Figure 3:</w:t>
      </w:r>
      <w:r>
        <w:t xml:space="preserve"> </w:t>
      </w:r>
      <w:r>
        <w:t xml:space="preserve">PCoA of mouse microbiomes over time, during and after 120 hours of antibiotic treatment. Control mice (left) and treated mice (right) were cohoused after treatment (hour 120) for the duration of the experiment.</w:t>
      </w:r>
    </w:p>
    <w:p>
      <w:pPr>
        <w:pStyle w:val="Heading6"/>
      </w:pPr>
      <w:bookmarkStart w:id="35" w:name="section-3"/>
      <w:bookmarkEnd w:id="35"/>
      <w:r>
        <w:drawing>
          <wp:inline>
            <wp:extent cx="5943600" cy="6792685"/>
            <wp:effectExtent b="0" l="0" r="0" t="0"/>
            <wp:docPr descr="" title="" id="1" name="Picture"/>
            <a:graphic>
              <a:graphicData uri="http://schemas.openxmlformats.org/drawingml/2006/picture">
                <pic:pic>
                  <pic:nvPicPr>
                    <pic:cNvPr descr="images\figPCoASolitary.png" id="0" name="Picture"/>
                    <pic:cNvPicPr>
                      <a:picLocks noChangeArrowheads="1" noChangeAspect="1"/>
                    </pic:cNvPicPr>
                  </pic:nvPicPr>
                  <pic:blipFill>
                    <a:blip r:embed="rId34"/>
                    <a:stretch>
                      <a:fillRect/>
                    </a:stretch>
                  </pic:blipFill>
                  <pic:spPr bwMode="auto">
                    <a:xfrm>
                      <a:off x="0" y="0"/>
                      <a:ext cx="5943600" cy="6792685"/>
                    </a:xfrm>
                    <a:prstGeom prst="rect">
                      <a:avLst/>
                    </a:prstGeom>
                    <a:noFill/>
                    <a:ln w="9525">
                      <a:noFill/>
                      <a:headEnd/>
                      <a:tailEnd/>
                    </a:ln>
                  </pic:spPr>
                </pic:pic>
              </a:graphicData>
            </a:graphic>
          </wp:inline>
        </w:drawing>
      </w:r>
    </w:p>
    <w:p>
      <w:pPr>
        <w:pStyle w:val="FirstParagraph"/>
      </w:pPr>
      <w:r>
        <w:rPr>
          <w:b/>
        </w:rPr>
        <w:t xml:space="preserve">Figure 4:</w:t>
      </w:r>
      <w:r>
        <w:t xml:space="preserve"> </w:t>
      </w:r>
      <w:r>
        <w:t xml:space="preserve">PCoA of mouse microbiomes over time, during and after 120 hours of antibiotic treatment. Control mice (left) and treated mice (right) were not cohoused at any point during the experiment.</w:t>
      </w:r>
    </w:p>
    <w:p>
      <w:pPr>
        <w:pStyle w:val="Heading6"/>
      </w:pPr>
      <w:bookmarkStart w:id="37" w:name="section-4"/>
      <w:bookmarkEnd w:id="37"/>
      <w:r>
        <w:drawing>
          <wp:inline>
            <wp:extent cx="4587290" cy="3669832"/>
            <wp:effectExtent b="0" l="0" r="0" t="0"/>
            <wp:docPr descr="" title="" id="1" name="Picture"/>
            <a:graphic>
              <a:graphicData uri="http://schemas.openxmlformats.org/drawingml/2006/picture">
                <pic:pic>
                  <pic:nvPicPr>
                    <pic:cNvPr descr="images\figTaxaSharedAcrossMice.png" id="0" name="Picture"/>
                    <pic:cNvPicPr>
                      <a:picLocks noChangeArrowheads="1" noChangeAspect="1"/>
                    </pic:cNvPicPr>
                  </pic:nvPicPr>
                  <pic:blipFill>
                    <a:blip r:embed="rId36"/>
                    <a:stretch>
                      <a:fillRect/>
                    </a:stretch>
                  </pic:blipFill>
                  <pic:spPr bwMode="auto">
                    <a:xfrm>
                      <a:off x="0" y="0"/>
                      <a:ext cx="4587290" cy="3669832"/>
                    </a:xfrm>
                    <a:prstGeom prst="rect">
                      <a:avLst/>
                    </a:prstGeom>
                    <a:noFill/>
                    <a:ln w="9525">
                      <a:noFill/>
                      <a:headEnd/>
                      <a:tailEnd/>
                    </a:ln>
                  </pic:spPr>
                </pic:pic>
              </a:graphicData>
            </a:graphic>
          </wp:inline>
        </w:drawing>
      </w:r>
    </w:p>
    <w:p>
      <w:pPr>
        <w:pStyle w:val="FirstParagraph"/>
      </w:pPr>
      <w:r>
        <w:rPr>
          <w:b/>
        </w:rPr>
        <w:t xml:space="preserve">Figure 5:</w:t>
      </w:r>
      <w:r>
        <w:t xml:space="preserve"> </w:t>
      </w:r>
      <w:r>
        <w:t xml:space="preserve">Percent of phyla observed across all mice present within single mice, assessed at increasingly specific taxonomic levels.</w:t>
      </w:r>
    </w:p>
    <w:p>
      <w:pPr>
        <w:pStyle w:val="Heading6"/>
      </w:pPr>
      <w:bookmarkStart w:id="39" w:name="section-5"/>
      <w:bookmarkEnd w:id="39"/>
      <w:r>
        <w:drawing>
          <wp:inline>
            <wp:extent cx="5504749" cy="7339665"/>
            <wp:effectExtent b="0" l="0" r="0" t="0"/>
            <wp:docPr descr="" title="" id="1" name="Picture"/>
            <a:graphic>
              <a:graphicData uri="http://schemas.openxmlformats.org/drawingml/2006/picture">
                <pic:pic>
                  <pic:nvPicPr>
                    <pic:cNvPr descr="images\figShannonOverTime.png" id="0" name="Picture"/>
                    <pic:cNvPicPr>
                      <a:picLocks noChangeArrowheads="1" noChangeAspect="1"/>
                    </pic:cNvPicPr>
                  </pic:nvPicPr>
                  <pic:blipFill>
                    <a:blip r:embed="rId38"/>
                    <a:stretch>
                      <a:fillRect/>
                    </a:stretch>
                  </pic:blipFill>
                  <pic:spPr bwMode="auto">
                    <a:xfrm>
                      <a:off x="0" y="0"/>
                      <a:ext cx="5504749" cy="7339665"/>
                    </a:xfrm>
                    <a:prstGeom prst="rect">
                      <a:avLst/>
                    </a:prstGeom>
                    <a:noFill/>
                    <a:ln w="9525">
                      <a:noFill/>
                      <a:headEnd/>
                      <a:tailEnd/>
                    </a:ln>
                  </pic:spPr>
                </pic:pic>
              </a:graphicData>
            </a:graphic>
          </wp:inline>
        </w:drawing>
      </w:r>
    </w:p>
    <w:p>
      <w:pPr>
        <w:pStyle w:val="FirstParagraph"/>
      </w:pPr>
      <w:r>
        <w:rPr>
          <w:b/>
        </w:rPr>
        <w:t xml:space="preserve">Figure 6:</w:t>
      </w:r>
      <w:r>
        <w:t xml:space="preserve"> </w:t>
      </w:r>
      <w:r>
        <w:t xml:space="preserve">Shannon diversity over time within mice.</w:t>
      </w:r>
    </w:p>
    <w:p>
      <w:pPr>
        <w:pStyle w:val="Heading6"/>
      </w:pPr>
      <w:bookmarkStart w:id="41" w:name="section-6"/>
      <w:bookmarkEnd w:id="41"/>
      <w:r>
        <w:drawing>
          <wp:inline>
            <wp:extent cx="5504749" cy="7339665"/>
            <wp:effectExtent b="0" l="0" r="0" t="0"/>
            <wp:docPr descr="" title="" id="1" name="Picture"/>
            <a:graphic>
              <a:graphicData uri="http://schemas.openxmlformats.org/drawingml/2006/picture">
                <pic:pic>
                  <pic:nvPicPr>
                    <pic:cNvPr descr="images\figRichOverTime.png" id="0" name="Picture"/>
                    <pic:cNvPicPr>
                      <a:picLocks noChangeArrowheads="1" noChangeAspect="1"/>
                    </pic:cNvPicPr>
                  </pic:nvPicPr>
                  <pic:blipFill>
                    <a:blip r:embed="rId40"/>
                    <a:stretch>
                      <a:fillRect/>
                    </a:stretch>
                  </pic:blipFill>
                  <pic:spPr bwMode="auto">
                    <a:xfrm>
                      <a:off x="0" y="0"/>
                      <a:ext cx="5504749" cy="7339665"/>
                    </a:xfrm>
                    <a:prstGeom prst="rect">
                      <a:avLst/>
                    </a:prstGeom>
                    <a:noFill/>
                    <a:ln w="9525">
                      <a:noFill/>
                      <a:headEnd/>
                      <a:tailEnd/>
                    </a:ln>
                  </pic:spPr>
                </pic:pic>
              </a:graphicData>
            </a:graphic>
          </wp:inline>
        </w:drawing>
      </w:r>
    </w:p>
    <w:p>
      <w:pPr>
        <w:pStyle w:val="FirstParagraph"/>
      </w:pPr>
      <w:r>
        <w:rPr>
          <w:b/>
        </w:rPr>
        <w:t xml:space="preserve">Figure 7:</w:t>
      </w:r>
      <w:r>
        <w:t xml:space="preserve"> </w:t>
      </w:r>
      <w:r>
        <w:t xml:space="preserve">OTU richness over time within mice.</w:t>
      </w:r>
    </w:p>
    <w:p>
      <w:pPr>
        <w:pStyle w:val="Heading6"/>
      </w:pPr>
      <w:bookmarkStart w:id="43" w:name="section-7"/>
      <w:bookmarkEnd w:id="43"/>
      <w:r>
        <w:drawing>
          <wp:inline>
            <wp:extent cx="5504749" cy="7339665"/>
            <wp:effectExtent b="0" l="0" r="0" t="0"/>
            <wp:docPr descr="" title="" id="1" name="Picture"/>
            <a:graphic>
              <a:graphicData uri="http://schemas.openxmlformats.org/drawingml/2006/picture">
                <pic:pic>
                  <pic:nvPicPr>
                    <pic:cNvPr descr="images\figEvennessOverTime.png" id="0" name="Picture"/>
                    <pic:cNvPicPr>
                      <a:picLocks noChangeArrowheads="1" noChangeAspect="1"/>
                    </pic:cNvPicPr>
                  </pic:nvPicPr>
                  <pic:blipFill>
                    <a:blip r:embed="rId42"/>
                    <a:stretch>
                      <a:fillRect/>
                    </a:stretch>
                  </pic:blipFill>
                  <pic:spPr bwMode="auto">
                    <a:xfrm>
                      <a:off x="0" y="0"/>
                      <a:ext cx="5504749" cy="7339665"/>
                    </a:xfrm>
                    <a:prstGeom prst="rect">
                      <a:avLst/>
                    </a:prstGeom>
                    <a:noFill/>
                    <a:ln w="9525">
                      <a:noFill/>
                      <a:headEnd/>
                      <a:tailEnd/>
                    </a:ln>
                  </pic:spPr>
                </pic:pic>
              </a:graphicData>
            </a:graphic>
          </wp:inline>
        </w:drawing>
      </w:r>
    </w:p>
    <w:p>
      <w:pPr>
        <w:pStyle w:val="FirstParagraph"/>
      </w:pPr>
      <w:r>
        <w:rPr>
          <w:b/>
        </w:rPr>
        <w:t xml:space="preserve">Figure 8:</w:t>
      </w:r>
      <w:r>
        <w:t xml:space="preserve"> </w:t>
      </w:r>
      <w:r>
        <w:t xml:space="preserve">OTU community evenness (i.e., equitability, i.e., Shannon diversity H / log(OTU richness))</w:t>
      </w:r>
    </w:p>
    <w:p>
      <w:pPr>
        <w:pStyle w:val="Heading6"/>
      </w:pPr>
      <w:bookmarkStart w:id="45" w:name="section-8"/>
      <w:bookmarkEnd w:id="45"/>
      <w:r>
        <w:drawing>
          <wp:inline>
            <wp:extent cx="5943600" cy="4572000"/>
            <wp:effectExtent b="0" l="0" r="0" t="0"/>
            <wp:docPr descr="" title="" id="1" name="Picture"/>
            <a:graphic>
              <a:graphicData uri="http://schemas.openxmlformats.org/drawingml/2006/picture">
                <pic:pic>
                  <pic:nvPicPr>
                    <pic:cNvPr descr="images\figPropPressure.png" id="0" name="Picture"/>
                    <pic:cNvPicPr>
                      <a:picLocks noChangeArrowheads="1" noChangeAspect="1"/>
                    </pic:cNvPicPr>
                  </pic:nvPicPr>
                  <pic:blipFill>
                    <a:blip r:embed="rId44"/>
                    <a:stretch>
                      <a:fillRect/>
                    </a:stretch>
                  </pic:blipFill>
                  <pic:spPr bwMode="auto">
                    <a:xfrm>
                      <a:off x="0" y="0"/>
                      <a:ext cx="5943600" cy="4572000"/>
                    </a:xfrm>
                    <a:prstGeom prst="rect">
                      <a:avLst/>
                    </a:prstGeom>
                    <a:noFill/>
                    <a:ln w="9525">
                      <a:noFill/>
                      <a:headEnd/>
                      <a:tailEnd/>
                    </a:ln>
                  </pic:spPr>
                </pic:pic>
              </a:graphicData>
            </a:graphic>
          </wp:inline>
        </w:drawing>
      </w:r>
    </w:p>
    <w:p>
      <w:pPr>
        <w:pStyle w:val="FirstParagraph"/>
      </w:pPr>
      <w:r>
        <w:rPr>
          <w:b/>
        </w:rPr>
        <w:t xml:space="preserve">Figure 9:</w:t>
      </w:r>
      <w:r>
        <w:t xml:space="preserve"> </w:t>
      </w:r>
      <w:r>
        <w:t xml:space="preserve">A test of the potential role of mass effects. The hypothesis is that, all else being equal, the abundance of a taxon in the regional pool (i.e., the cohoused mouse) is going to correlate positively with time to arrival (i.e., successful colonization) in the treated mouse. This hypothesis is supported. However, we can’t be sure if the pattern is because the taxa that are more abundant taxa in the control mouse are simply better suited for the gut environment, and thus are faster to colonize the antibiotic-treated mouse. So, the analysis has it’s limitations, but I still think it’s worth noting.</w:t>
      </w:r>
    </w:p>
    <w:p>
      <w:pPr>
        <w:pStyle w:val="Heading6"/>
      </w:pPr>
      <w:bookmarkStart w:id="47" w:name="section-9"/>
      <w:bookmarkEnd w:id="47"/>
      <w:r>
        <w:drawing>
          <wp:inline>
            <wp:extent cx="5943600" cy="5943600"/>
            <wp:effectExtent b="0" l="0" r="0" t="0"/>
            <wp:docPr descr="" title="" id="1" name="Picture"/>
            <a:graphic>
              <a:graphicData uri="http://schemas.openxmlformats.org/drawingml/2006/picture">
                <pic:pic>
                  <pic:nvPicPr>
                    <pic:cNvPr descr="images\figOTUAbunByAbxStatus.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pPr>
        <w:pStyle w:val="FirstParagraph"/>
      </w:pPr>
      <w:r>
        <w:rPr>
          <w:b/>
        </w:rPr>
        <w:t xml:space="preserve">Figure 10:</w:t>
      </w:r>
      <w:r>
        <w:t xml:space="preserve"> </w:t>
      </w:r>
      <w:r>
        <w:t xml:space="preserve">Rarefied OTU abundances, colored by OTU status. This figure is to compare mice treated by antibiotics to untreated mice.</w:t>
      </w:r>
    </w:p>
    <w:p>
      <w:pPr>
        <w:pStyle w:val="Heading6"/>
      </w:pPr>
      <w:bookmarkStart w:id="49" w:name="section-10"/>
      <w:bookmarkEnd w:id="49"/>
      <w:r>
        <w:drawing>
          <wp:inline>
            <wp:extent cx="5943600" cy="5943600"/>
            <wp:effectExtent b="0" l="0" r="0" t="0"/>
            <wp:docPr descr="" title="" id="1" name="Picture"/>
            <a:graphic>
              <a:graphicData uri="http://schemas.openxmlformats.org/drawingml/2006/picture">
                <pic:pic>
                  <pic:nvPicPr>
                    <pic:cNvPr descr="images\figOTUAbunByCageStatus.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pStyle w:val="FirstParagraph"/>
      </w:pPr>
      <w:r>
        <w:rPr>
          <w:b/>
        </w:rPr>
        <w:t xml:space="preserve">Figure 11:</w:t>
      </w:r>
      <w:r>
        <w:t xml:space="preserve"> </w:t>
      </w:r>
      <w:r>
        <w:t xml:space="preserve">Rarefied OTU abundances, colored by OTU status. This figure is to compare mice in cohousing environments during the recovery process, with mice caged alone during the recovery process.</w:t>
      </w:r>
    </w:p>
    <w:p>
      <w:pPr>
        <w:pStyle w:val="Heading6"/>
      </w:pPr>
      <w:bookmarkStart w:id="51" w:name="section-11"/>
      <w:bookmarkEnd w:id="51"/>
      <w:r>
        <w:drawing>
          <wp:inline>
            <wp:extent cx="5943600" cy="5943600"/>
            <wp:effectExtent b="0" l="0" r="0" t="0"/>
            <wp:docPr descr="" title="" id="1" name="Picture"/>
            <a:graphic>
              <a:graphicData uri="http://schemas.openxmlformats.org/drawingml/2006/picture">
                <pic:pic>
                  <pic:nvPicPr>
                    <pic:cNvPr descr="images\figOTURichByAbxStatus.png" id="0"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pStyle w:val="FirstParagraph"/>
      </w:pPr>
      <w:r>
        <w:rPr>
          <w:b/>
        </w:rPr>
        <w:t xml:space="preserve">Figure 12:</w:t>
      </w:r>
      <w:r>
        <w:t xml:space="preserve"> </w:t>
      </w:r>
      <w:r>
        <w:t xml:space="preserve">OTU richness from communities rarefied to 5000 seqeunces, colored by OTU status. This figure is to compare mice treated by antibiotics to untreated mice.</w:t>
      </w:r>
    </w:p>
    <w:p>
      <w:pPr>
        <w:pStyle w:val="Heading6"/>
      </w:pPr>
      <w:bookmarkStart w:id="53" w:name="section-12"/>
      <w:bookmarkEnd w:id="53"/>
      <w:r>
        <w:drawing>
          <wp:inline>
            <wp:extent cx="5943600" cy="5943600"/>
            <wp:effectExtent b="0" l="0" r="0" t="0"/>
            <wp:docPr descr="" title="" id="1" name="Picture"/>
            <a:graphic>
              <a:graphicData uri="http://schemas.openxmlformats.org/drawingml/2006/picture">
                <pic:pic>
                  <pic:nvPicPr>
                    <pic:cNvPr descr="images\figOTURichByCageStatus.png" id="0" name="Picture"/>
                    <pic:cNvPicPr>
                      <a:picLocks noChangeArrowheads="1" noChangeAspect="1"/>
                    </pic:cNvPicPr>
                  </pic:nvPicPr>
                  <pic:blipFill>
                    <a:blip r:embed="rId52"/>
                    <a:stretch>
                      <a:fillRect/>
                    </a:stretch>
                  </pic:blipFill>
                  <pic:spPr bwMode="auto">
                    <a:xfrm>
                      <a:off x="0" y="0"/>
                      <a:ext cx="5943600" cy="5943600"/>
                    </a:xfrm>
                    <a:prstGeom prst="rect">
                      <a:avLst/>
                    </a:prstGeom>
                    <a:noFill/>
                    <a:ln w="9525">
                      <a:noFill/>
                      <a:headEnd/>
                      <a:tailEnd/>
                    </a:ln>
                  </pic:spPr>
                </pic:pic>
              </a:graphicData>
            </a:graphic>
          </wp:inline>
        </w:drawing>
      </w:r>
    </w:p>
    <w:p>
      <w:pPr>
        <w:pStyle w:val="FirstParagraph"/>
      </w:pPr>
      <w:r>
        <w:rPr>
          <w:b/>
        </w:rPr>
        <w:t xml:space="preserve">Figure 13:</w:t>
      </w:r>
      <w:r>
        <w:t xml:space="preserve"> </w:t>
      </w:r>
      <w:r>
        <w:t xml:space="preserve">OTU richness from communities rarefied to 5000 seqeunces, colored by OTU status. This figure is to compare mice in cohousing environments during the recovery process, with mice caged alone during the recovery process.</w:t>
      </w:r>
    </w:p>
    <w:p>
      <w:pPr>
        <w:pStyle w:val="Heading6"/>
      </w:pPr>
      <w:bookmarkStart w:id="55" w:name="section-13"/>
      <w:bookmarkEnd w:id="55"/>
      <w:r>
        <w:drawing>
          <wp:inline>
            <wp:extent cx="5943600" cy="5283200"/>
            <wp:effectExtent b="0" l="0" r="0" t="0"/>
            <wp:docPr descr="" title="" id="1" name="Picture"/>
            <a:graphic>
              <a:graphicData uri="http://schemas.openxmlformats.org/drawingml/2006/picture">
                <pic:pic>
                  <pic:nvPicPr>
                    <pic:cNvPr descr="images\figMostAffectedOTUs.png" id="0" name="Picture"/>
                    <pic:cNvPicPr>
                      <a:picLocks noChangeArrowheads="1" noChangeAspect="1"/>
                    </pic:cNvPicPr>
                  </pic:nvPicPr>
                  <pic:blipFill>
                    <a:blip r:embed="rId54"/>
                    <a:stretch>
                      <a:fillRect/>
                    </a:stretch>
                  </pic:blipFill>
                  <pic:spPr bwMode="auto">
                    <a:xfrm>
                      <a:off x="0" y="0"/>
                      <a:ext cx="5943600" cy="5283200"/>
                    </a:xfrm>
                    <a:prstGeom prst="rect">
                      <a:avLst/>
                    </a:prstGeom>
                    <a:noFill/>
                    <a:ln w="9525">
                      <a:noFill/>
                      <a:headEnd/>
                      <a:tailEnd/>
                    </a:ln>
                  </pic:spPr>
                </pic:pic>
              </a:graphicData>
            </a:graphic>
          </wp:inline>
        </w:drawing>
      </w:r>
    </w:p>
    <w:p>
      <w:pPr>
        <w:pStyle w:val="FirstParagraph"/>
      </w:pPr>
      <w:r>
        <w:rPr>
          <w:b/>
        </w:rPr>
        <w:t xml:space="preserve">Figure 14:</w:t>
      </w:r>
      <w:r>
        <w:t xml:space="preserve"> </w:t>
      </w:r>
      <w:r>
        <w:t xml:space="preserve">Trends in abundances of 12 taxa that differ significantly between antibiotic treated mice and control mice. The translucent red square shows the window of antibiotic treatment.</w:t>
      </w:r>
    </w:p>
    <w:p>
      <w:pPr>
        <w:pStyle w:val="Heading6"/>
      </w:pPr>
      <w:bookmarkStart w:id="56" w:name="works-cited"/>
      <w:bookmarkEnd w:id="56"/>
      <w:r>
        <w:t xml:space="preserve">Works Cited</w:t>
      </w:r>
    </w:p>
    <w:p>
      <w:pPr>
        <w:pStyle w:val="Bibliography"/>
      </w:pPr>
      <w:r>
        <w:t xml:space="preserve">Reese, A. T., E. H. Cho, B. Klitzman, S. P. Nichols, N. A. Wisniewski, M. M. Villa, H. K. Durand, S. Jiang, F. S. Midani, S. N. Nimmagadda, T. M. O’Connell, J. P. Wright, M. A. Deshusses, and L. A. David. 2018. Antibiotic-induced changes in the microbiota disrupt redox dynamics in the gut. eLife 7:e35987.</w:t>
      </w:r>
    </w:p>
    <w:sectPr w:rsidR="001C1E3F" w:rsidSect="00FF154A">
      <w:pgSz w:w="12240" w:h="15840"/>
      <w:pgMar w:top="1440" w:right="1440" w:bottom="1440" w:left="1440" w:header="720" w:footer="720" w:gutter="0"/>
      <w:lnNumType w:countBy="1" w:restart="continuous"/>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3385A3B"/>
    <w:multiLevelType w:val="multilevel"/>
    <w:tmpl w:val="5320643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83BBA0A6"/>
    <w:multiLevelType w:val="multilevel"/>
    <w:tmpl w:val="037031D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855ADFA7"/>
    <w:multiLevelType w:val="multilevel"/>
    <w:tmpl w:val="7614678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9280C679"/>
    <w:multiLevelType w:val="multilevel"/>
    <w:tmpl w:val="F03A84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96F13521"/>
    <w:multiLevelType w:val="multilevel"/>
    <w:tmpl w:val="5CD2762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9BDDD918"/>
    <w:multiLevelType w:val="multilevel"/>
    <w:tmpl w:val="62889BA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9C4BEFD3"/>
    <w:multiLevelType w:val="multilevel"/>
    <w:tmpl w:val="35AECA2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A0B59950"/>
    <w:multiLevelType w:val="multilevel"/>
    <w:tmpl w:val="9694198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B5E7BE3B"/>
    <w:multiLevelType w:val="multilevel"/>
    <w:tmpl w:val="D484845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BD6EBCF5"/>
    <w:multiLevelType w:val="multilevel"/>
    <w:tmpl w:val="D84A2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0" w15:restartNumberingAfterBreak="0">
    <w:nsid w:val="D399B275"/>
    <w:multiLevelType w:val="multilevel"/>
    <w:tmpl w:val="EF32F95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1" w15:restartNumberingAfterBreak="0">
    <w:nsid w:val="DFC789B0"/>
    <w:multiLevelType w:val="multilevel"/>
    <w:tmpl w:val="12F8FE1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2" w15:restartNumberingAfterBreak="0">
    <w:nsid w:val="E17F69BA"/>
    <w:multiLevelType w:val="multilevel"/>
    <w:tmpl w:val="951CE0C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3" w15:restartNumberingAfterBreak="0">
    <w:nsid w:val="EC055656"/>
    <w:multiLevelType w:val="multilevel"/>
    <w:tmpl w:val="524812E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4" w15:restartNumberingAfterBreak="0">
    <w:nsid w:val="ED5CB810"/>
    <w:multiLevelType w:val="multilevel"/>
    <w:tmpl w:val="18EC7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5" w15:restartNumberingAfterBreak="0">
    <w:nsid w:val="EE6C3181"/>
    <w:multiLevelType w:val="multilevel"/>
    <w:tmpl w:val="315A9C1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EFE27407"/>
    <w:multiLevelType w:val="multilevel"/>
    <w:tmpl w:val="D47A030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F1769ABB"/>
    <w:multiLevelType w:val="multilevel"/>
    <w:tmpl w:val="2034C57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F1E0E7C3"/>
    <w:multiLevelType w:val="multilevel"/>
    <w:tmpl w:val="B706DCB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9" w15:restartNumberingAfterBreak="0">
    <w:nsid w:val="F7B8925B"/>
    <w:multiLevelType w:val="multilevel"/>
    <w:tmpl w:val="D5EEAB6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0" w15:restartNumberingAfterBreak="0">
    <w:nsid w:val="F83EBD57"/>
    <w:multiLevelType w:val="multilevel"/>
    <w:tmpl w:val="4BD6BC6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1" w15:restartNumberingAfterBreak="0">
    <w:nsid w:val="FD7FA857"/>
    <w:multiLevelType w:val="multilevel"/>
    <w:tmpl w:val="FD64AD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2" w15:restartNumberingAfterBreak="0">
    <w:nsid w:val="FFFFFF80"/>
    <w:multiLevelType w:val="singleLevel"/>
    <w:tmpl w:val="88162130"/>
    <w:lvl w:ilvl="0">
      <w:start w:val="1"/>
      <w:numFmt w:val="bullet"/>
      <w:lvlText w:val=""/>
      <w:lvlJc w:val="left"/>
      <w:pPr>
        <w:tabs>
          <w:tab w:val="num" w:pos="1800"/>
        </w:tabs>
        <w:ind w:left="1800" w:hanging="360"/>
      </w:pPr>
      <w:rPr>
        <w:rFonts w:ascii="Symbol" w:hAnsi="Symbol" w:hint="default"/>
      </w:rPr>
    </w:lvl>
  </w:abstractNum>
  <w:abstractNum w:abstractNumId="23" w15:restartNumberingAfterBreak="0">
    <w:nsid w:val="FFFFFF81"/>
    <w:multiLevelType w:val="singleLevel"/>
    <w:tmpl w:val="C7800A16"/>
    <w:lvl w:ilvl="0">
      <w:start w:val="1"/>
      <w:numFmt w:val="bullet"/>
      <w:lvlText w:val=""/>
      <w:lvlJc w:val="left"/>
      <w:pPr>
        <w:tabs>
          <w:tab w:val="num" w:pos="1440"/>
        </w:tabs>
        <w:ind w:left="1440" w:hanging="360"/>
      </w:pPr>
      <w:rPr>
        <w:rFonts w:ascii="Symbol" w:hAnsi="Symbol" w:hint="default"/>
      </w:rPr>
    </w:lvl>
  </w:abstractNum>
  <w:abstractNum w:abstractNumId="24" w15:restartNumberingAfterBreak="0">
    <w:nsid w:val="FFFFFF82"/>
    <w:multiLevelType w:val="singleLevel"/>
    <w:tmpl w:val="DE8C3E9A"/>
    <w:lvl w:ilvl="0">
      <w:start w:val="1"/>
      <w:numFmt w:val="bullet"/>
      <w:lvlText w:val=""/>
      <w:lvlJc w:val="left"/>
      <w:pPr>
        <w:tabs>
          <w:tab w:val="num" w:pos="1080"/>
        </w:tabs>
        <w:ind w:left="1080" w:hanging="360"/>
      </w:pPr>
      <w:rPr>
        <w:rFonts w:ascii="Symbol" w:hAnsi="Symbol" w:hint="default"/>
      </w:rPr>
    </w:lvl>
  </w:abstractNum>
  <w:abstractNum w:abstractNumId="25" w15:restartNumberingAfterBreak="0">
    <w:nsid w:val="FFFFFF83"/>
    <w:multiLevelType w:val="singleLevel"/>
    <w:tmpl w:val="4ABEBE76"/>
    <w:lvl w:ilvl="0">
      <w:start w:val="1"/>
      <w:numFmt w:val="bullet"/>
      <w:lvlText w:val=""/>
      <w:lvlJc w:val="left"/>
      <w:pPr>
        <w:tabs>
          <w:tab w:val="num" w:pos="720"/>
        </w:tabs>
        <w:ind w:left="720" w:hanging="360"/>
      </w:pPr>
      <w:rPr>
        <w:rFonts w:ascii="Symbol" w:hAnsi="Symbol" w:hint="default"/>
      </w:rPr>
    </w:lvl>
  </w:abstractNum>
  <w:abstractNum w:abstractNumId="26" w15:restartNumberingAfterBreak="0">
    <w:nsid w:val="FFFFFF89"/>
    <w:multiLevelType w:val="singleLevel"/>
    <w:tmpl w:val="4236758E"/>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1AEDEB19"/>
    <w:multiLevelType w:val="multilevel"/>
    <w:tmpl w:val="6F3A955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8" w15:restartNumberingAfterBreak="0">
    <w:nsid w:val="1B35BDC6"/>
    <w:multiLevelType w:val="multilevel"/>
    <w:tmpl w:val="E014EB5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9" w15:restartNumberingAfterBreak="0">
    <w:nsid w:val="3617DF23"/>
    <w:multiLevelType w:val="multilevel"/>
    <w:tmpl w:val="8B780C2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0" w15:restartNumberingAfterBreak="0">
    <w:nsid w:val="3880D33B"/>
    <w:multiLevelType w:val="multilevel"/>
    <w:tmpl w:val="5702788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1" w15:restartNumberingAfterBreak="0">
    <w:nsid w:val="3BE4F664"/>
    <w:multiLevelType w:val="multilevel"/>
    <w:tmpl w:val="04625E8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2" w15:restartNumberingAfterBreak="0">
    <w:nsid w:val="41194B38"/>
    <w:multiLevelType w:val="multilevel"/>
    <w:tmpl w:val="BE82F07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3" w15:restartNumberingAfterBreak="0">
    <w:nsid w:val="41291154"/>
    <w:multiLevelType w:val="multilevel"/>
    <w:tmpl w:val="A6D845F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4" w15:restartNumberingAfterBreak="0">
    <w:nsid w:val="422642B0"/>
    <w:multiLevelType w:val="multilevel"/>
    <w:tmpl w:val="B92C605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5" w15:restartNumberingAfterBreak="0">
    <w:nsid w:val="43D21831"/>
    <w:multiLevelType w:val="multilevel"/>
    <w:tmpl w:val="54C694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6" w15:restartNumberingAfterBreak="0">
    <w:nsid w:val="48F3931E"/>
    <w:multiLevelType w:val="multilevel"/>
    <w:tmpl w:val="37DC86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7" w15:restartNumberingAfterBreak="0">
    <w:nsid w:val="4B18A0B8"/>
    <w:multiLevelType w:val="multilevel"/>
    <w:tmpl w:val="9A7AD4F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8" w15:restartNumberingAfterBreak="0">
    <w:nsid w:val="5533A744"/>
    <w:multiLevelType w:val="multilevel"/>
    <w:tmpl w:val="5EF8A92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9" w15:restartNumberingAfterBreak="0">
    <w:nsid w:val="57308163"/>
    <w:multiLevelType w:val="multilevel"/>
    <w:tmpl w:val="4404A9A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0" w15:restartNumberingAfterBreak="0">
    <w:nsid w:val="5C648CDD"/>
    <w:multiLevelType w:val="multilevel"/>
    <w:tmpl w:val="60C49D4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1" w15:restartNumberingAfterBreak="0">
    <w:nsid w:val="66C6C369"/>
    <w:multiLevelType w:val="multilevel"/>
    <w:tmpl w:val="EC5AF7F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2" w15:restartNumberingAfterBreak="0">
    <w:nsid w:val="67A4C77A"/>
    <w:multiLevelType w:val="multilevel"/>
    <w:tmpl w:val="B46074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3" w15:restartNumberingAfterBreak="0">
    <w:nsid w:val="6B5AA6F3"/>
    <w:multiLevelType w:val="multilevel"/>
    <w:tmpl w:val="92D21D0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4" w15:restartNumberingAfterBreak="0">
    <w:nsid w:val="6C309CC7"/>
    <w:multiLevelType w:val="multilevel"/>
    <w:tmpl w:val="E26009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5" w15:restartNumberingAfterBreak="0">
    <w:nsid w:val="6C56E370"/>
    <w:multiLevelType w:val="multilevel"/>
    <w:tmpl w:val="757E035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6" w15:restartNumberingAfterBreak="0">
    <w:nsid w:val="6D2A9697"/>
    <w:multiLevelType w:val="multilevel"/>
    <w:tmpl w:val="3948DE7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7" w15:restartNumberingAfterBreak="0">
    <w:nsid w:val="6FE874DB"/>
    <w:multiLevelType w:val="multilevel"/>
    <w:tmpl w:val="FFAAC2B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8" w15:restartNumberingAfterBreak="0">
    <w:nsid w:val="72DEE19B"/>
    <w:multiLevelType w:val="multilevel"/>
    <w:tmpl w:val="331AB48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9" w15:restartNumberingAfterBreak="0">
    <w:nsid w:val="7358CE16"/>
    <w:multiLevelType w:val="multilevel"/>
    <w:tmpl w:val="539AAE2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892b50b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cbe23a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e65a9f5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12"/>
  </w:num>
  <w:num w:numId="2">
    <w:abstractNumId w:val="9"/>
  </w:num>
  <w:num w:numId="3">
    <w:abstractNumId w:val="47"/>
  </w:num>
  <w:num w:numId="4">
    <w:abstractNumId w:val="18"/>
  </w:num>
  <w:num w:numId="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1"/>
  </w:num>
  <w:num w:numId="7">
    <w:abstractNumId w:val="36"/>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4"/>
  </w:num>
  <w:num w:numId="10">
    <w:abstractNumId w:val="42"/>
  </w:num>
  <w:num w:numId="1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16"/>
  </w:num>
  <w:num w:numId="13">
    <w:abstractNumId w:val="40"/>
  </w:num>
  <w:num w:numId="1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
    <w:abstractNumId w:val="17"/>
  </w:num>
  <w:num w:numId="16">
    <w:abstractNumId w:val="1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33"/>
  </w:num>
  <w:num w:numId="19">
    <w:abstractNumId w:val="7"/>
  </w:num>
  <w:num w:numId="2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49"/>
  </w:num>
  <w:num w:numId="22">
    <w:abstractNumId w:val="0"/>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4">
    <w:abstractNumId w:val="41"/>
  </w:num>
  <w:num w:numId="25">
    <w:abstractNumId w:val="3"/>
  </w:num>
  <w:num w:numId="2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7">
    <w:abstractNumId w:val="20"/>
  </w:num>
  <w:num w:numId="28">
    <w:abstractNumId w:val="26"/>
  </w:num>
  <w:num w:numId="29">
    <w:abstractNumId w:val="25"/>
  </w:num>
  <w:num w:numId="30">
    <w:abstractNumId w:val="24"/>
  </w:num>
  <w:num w:numId="31">
    <w:abstractNumId w:val="23"/>
  </w:num>
  <w:num w:numId="32">
    <w:abstractNumId w:val="22"/>
  </w:num>
  <w:num w:numId="33">
    <w:abstractNumId w:val="19"/>
  </w:num>
  <w:num w:numId="3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5">
    <w:abstractNumId w:val="21"/>
  </w:num>
  <w:num w:numId="36">
    <w:abstractNumId w:val="44"/>
  </w:num>
  <w:num w:numId="3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8">
    <w:abstractNumId w:val="43"/>
  </w:num>
  <w:num w:numId="39">
    <w:abstractNumId w:val="5"/>
  </w:num>
  <w:num w:numId="4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1">
    <w:abstractNumId w:val="34"/>
  </w:num>
  <w:num w:numId="42">
    <w:abstractNumId w:val="15"/>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4">
    <w:abstractNumId w:val="30"/>
  </w:num>
  <w:num w:numId="45">
    <w:abstractNumId w:val="27"/>
  </w:num>
  <w:num w:numId="4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7">
    <w:abstractNumId w:val="13"/>
  </w:num>
  <w:num w:numId="48">
    <w:abstractNumId w:val="35"/>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0">
    <w:abstractNumId w:val="45"/>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HAnsi" w:hAnsi="Calibri" w:cstheme="minorBidi"/>
        <w:sz w:val="22"/>
        <w:szCs w:val="24"/>
        <w:lang w:val="en-US" w:eastAsia="en-US" w:bidi="ar-SA"/>
      </w:rPr>
    </w:rPrDefault>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C7AC5"/>
  </w:style>
  <w:style w:type="paragraph" w:styleId="Heading1">
    <w:name w:val="heading 1"/>
    <w:basedOn w:val="Normal"/>
    <w:next w:val="BodyText"/>
    <w:uiPriority w:val="9"/>
    <w:qFormat/>
    <w:rsid w:val="006B2A90"/>
    <w:pPr>
      <w:keepNext/>
      <w:keepLines/>
      <w:outlineLvl w:val="0"/>
    </w:pPr>
    <w:rPr>
      <w:rFonts w:asciiTheme="majorHAnsi" w:eastAsiaTheme="majorEastAsia" w:hAnsiTheme="majorHAnsi" w:cstheme="majorBidi"/>
      <w:b/>
      <w:bCs/>
      <w:szCs w:val="32"/>
    </w:rPr>
  </w:style>
  <w:style w:type="paragraph" w:styleId="Heading2">
    <w:name w:val="heading 2"/>
    <w:basedOn w:val="Normal"/>
    <w:next w:val="BodyText"/>
    <w:uiPriority w:val="9"/>
    <w:unhideWhenUsed/>
    <w:qFormat/>
    <w:rsid w:val="00427963"/>
    <w:pPr>
      <w:keepNext/>
      <w:keepLines/>
      <w:outlineLvl w:val="1"/>
    </w:pPr>
    <w:rPr>
      <w:rFonts w:asciiTheme="majorHAnsi" w:eastAsiaTheme="majorEastAsia" w:hAnsiTheme="majorHAnsi" w:cstheme="majorBidi"/>
      <w:bCs/>
      <w:i/>
      <w:szCs w:val="32"/>
    </w:rPr>
  </w:style>
  <w:style w:type="paragraph" w:styleId="Heading3">
    <w:name w:val="heading 3"/>
    <w:basedOn w:val="Normal"/>
    <w:next w:val="BodyText"/>
    <w:uiPriority w:val="9"/>
    <w:unhideWhenUsed/>
    <w:qFormat/>
    <w:rsid w:val="009E707D"/>
    <w:pPr>
      <w:keepNext/>
      <w:keepLines/>
      <w:spacing w:before="480" w:after="480"/>
      <w:outlineLvl w:val="2"/>
    </w:pPr>
    <w:rPr>
      <w:rFonts w:asciiTheme="majorHAnsi" w:eastAsiaTheme="majorEastAsia" w:hAnsiTheme="majorHAnsi" w:cstheme="majorBidi"/>
      <w:bCs/>
      <w:szCs w:val="28"/>
    </w:rPr>
  </w:style>
  <w:style w:type="paragraph" w:styleId="Heading4">
    <w:name w:val="heading 4"/>
    <w:basedOn w:val="Normal"/>
    <w:next w:val="BodyText"/>
    <w:uiPriority w:val="9"/>
    <w:unhideWhenUsed/>
    <w:qFormat/>
    <w:rsid w:val="00DE0462"/>
    <w:pPr>
      <w:keepNext/>
      <w:keepLines/>
      <w:outlineLvl w:val="3"/>
    </w:pPr>
    <w:rPr>
      <w:rFonts w:asciiTheme="majorHAnsi" w:eastAsiaTheme="majorEastAsia" w:hAnsiTheme="majorHAnsi" w:cstheme="majorBidi"/>
      <w:bCs/>
      <w:i/>
    </w:rPr>
  </w:style>
  <w:style w:type="paragraph" w:styleId="Heading5">
    <w:name w:val="heading 5"/>
    <w:basedOn w:val="Normal"/>
    <w:next w:val="BodyText"/>
    <w:uiPriority w:val="9"/>
    <w:unhideWhenUsed/>
    <w:qFormat/>
    <w:rsid w:val="00AD3EC3"/>
    <w:pPr>
      <w:keepNext/>
      <w:keepLines/>
      <w:outlineLvl w:val="4"/>
    </w:pPr>
    <w:rPr>
      <w:rFonts w:asciiTheme="majorHAnsi" w:eastAsiaTheme="majorEastAsia" w:hAnsiTheme="majorHAnsi" w:cstheme="majorBidi"/>
      <w:iCs/>
    </w:rPr>
  </w:style>
  <w:style w:type="paragraph" w:styleId="Heading6">
    <w:name w:val="heading 6"/>
    <w:basedOn w:val="Normal"/>
    <w:next w:val="BodyText"/>
    <w:uiPriority w:val="9"/>
    <w:unhideWhenUsed/>
    <w:qFormat/>
    <w:rsid w:val="0042101A"/>
    <w:pPr>
      <w:keepNext/>
      <w:keepLines/>
      <w:pageBreakBefore/>
      <w:outlineLvl w:val="5"/>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667900"/>
  </w:style>
  <w:style w:type="paragraph" w:customStyle="1" w:styleId="FirstParagraph">
    <w:name w:val="First Paragraph"/>
    <w:basedOn w:val="BodyText"/>
    <w:next w:val="BodyText"/>
    <w:qFormat/>
    <w:rsid w:val="00667900"/>
  </w:style>
  <w:style w:type="paragraph" w:customStyle="1" w:styleId="Compact">
    <w:name w:val="Compact"/>
    <w:basedOn w:val="BodyText"/>
    <w:qFormat/>
    <w:pPr>
      <w:spacing w:before="36" w:after="36"/>
    </w:pPr>
  </w:style>
  <w:style w:type="paragraph" w:styleId="Title">
    <w:name w:val="Title"/>
    <w:basedOn w:val="Normal"/>
    <w:next w:val="BodyText"/>
    <w:qFormat/>
    <w:rsid w:val="00B7105C"/>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964DD7"/>
    <w:pPr>
      <w:ind w:left="720" w:hanging="720"/>
    </w:pPr>
  </w:style>
  <w:style w:type="paragraph" w:styleId="BlockText">
    <w:name w:val="Block Text"/>
    <w:basedOn w:val="BodyText"/>
    <w:next w:val="BodyText"/>
    <w:uiPriority w:val="9"/>
    <w:unhideWhenUsed/>
    <w:qFormat/>
    <w:rsid w:val="00877F59"/>
    <w:pPr>
      <w:ind w:left="720" w:right="720"/>
    </w:pPr>
    <w:rPr>
      <w:rFonts w:ascii="Arial" w:eastAsiaTheme="majorEastAsia" w:hAnsi="Arial"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CE1437"/>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sz w:val="22"/>
    </w:rPr>
  </w:style>
  <w:style w:type="character" w:customStyle="1" w:styleId="DataTypeTok">
    <w:name w:val="DataTypeTok"/>
    <w:basedOn w:val="VerbatimChar"/>
    <w:rPr>
      <w:rFonts w:ascii="Consolas" w:hAnsi="Consolas"/>
      <w:sz w:val="22"/>
    </w:rPr>
  </w:style>
  <w:style w:type="character" w:customStyle="1" w:styleId="DecValTok">
    <w:name w:val="DecValTok"/>
    <w:basedOn w:val="VerbatimChar"/>
    <w:rPr>
      <w:rFonts w:ascii="Consolas" w:hAnsi="Consolas"/>
      <w:sz w:val="22"/>
    </w:rPr>
  </w:style>
  <w:style w:type="character" w:customStyle="1" w:styleId="BaseNTok">
    <w:name w:val="BaseNTok"/>
    <w:basedOn w:val="VerbatimChar"/>
    <w:rPr>
      <w:rFonts w:ascii="Consolas" w:hAnsi="Consolas"/>
      <w:sz w:val="22"/>
    </w:rPr>
  </w:style>
  <w:style w:type="character" w:customStyle="1" w:styleId="FloatTok">
    <w:name w:val="FloatTok"/>
    <w:basedOn w:val="VerbatimChar"/>
    <w:rPr>
      <w:rFonts w:ascii="Consolas" w:hAnsi="Consolas"/>
      <w:sz w:val="22"/>
    </w:rPr>
  </w:style>
  <w:style w:type="character" w:customStyle="1" w:styleId="ConstantTok">
    <w:name w:val="ConstantTok"/>
    <w:basedOn w:val="VerbatimChar"/>
    <w:rPr>
      <w:rFonts w:ascii="Consolas" w:hAnsi="Consolas"/>
      <w:sz w:val="22"/>
    </w:rPr>
  </w:style>
  <w:style w:type="character" w:customStyle="1" w:styleId="CharTok">
    <w:name w:val="CharTok"/>
    <w:basedOn w:val="VerbatimChar"/>
    <w:rPr>
      <w:rFonts w:ascii="Consolas" w:hAnsi="Consolas"/>
      <w:sz w:val="22"/>
    </w:rPr>
  </w:style>
  <w:style w:type="character" w:customStyle="1" w:styleId="SpecialCharTok">
    <w:name w:val="SpecialCharTok"/>
    <w:basedOn w:val="VerbatimChar"/>
    <w:rPr>
      <w:rFonts w:ascii="Consolas" w:hAnsi="Consolas"/>
      <w:sz w:val="22"/>
    </w:rPr>
  </w:style>
  <w:style w:type="character" w:customStyle="1" w:styleId="StringTok">
    <w:name w:val="StringTok"/>
    <w:basedOn w:val="VerbatimChar"/>
    <w:rPr>
      <w:rFonts w:ascii="Consolas" w:hAnsi="Consolas"/>
      <w:sz w:val="22"/>
    </w:rPr>
  </w:style>
  <w:style w:type="character" w:customStyle="1" w:styleId="VerbatimStringTok">
    <w:name w:val="VerbatimStringTok"/>
    <w:basedOn w:val="VerbatimChar"/>
    <w:rPr>
      <w:rFonts w:ascii="Consolas" w:hAnsi="Consolas"/>
      <w:sz w:val="22"/>
    </w:rPr>
  </w:style>
  <w:style w:type="character" w:customStyle="1" w:styleId="SpecialStringTok">
    <w:name w:val="SpecialStringTok"/>
    <w:basedOn w:val="VerbatimChar"/>
    <w:rPr>
      <w:rFonts w:ascii="Consolas" w:hAnsi="Consolas"/>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sz w:val="22"/>
    </w:rPr>
  </w:style>
  <w:style w:type="character" w:customStyle="1" w:styleId="DocumentationTok">
    <w:name w:val="DocumentationTok"/>
    <w:basedOn w:val="VerbatimChar"/>
    <w:rPr>
      <w:rFonts w:ascii="Consolas" w:hAnsi="Consolas"/>
      <w:i/>
      <w:sz w:val="22"/>
    </w:rPr>
  </w:style>
  <w:style w:type="character" w:customStyle="1" w:styleId="AnnotationTok">
    <w:name w:val="AnnotationTok"/>
    <w:basedOn w:val="VerbatimChar"/>
    <w:rPr>
      <w:rFonts w:ascii="Consolas" w:hAnsi="Consolas"/>
      <w:i/>
      <w:sz w:val="22"/>
    </w:rPr>
  </w:style>
  <w:style w:type="character" w:customStyle="1" w:styleId="CommentVarTok">
    <w:name w:val="CommentVarTok"/>
    <w:basedOn w:val="VerbatimChar"/>
    <w:rPr>
      <w:rFonts w:ascii="Consolas" w:hAnsi="Consolas"/>
      <w:i/>
      <w:sz w:val="22"/>
    </w:rPr>
  </w:style>
  <w:style w:type="character" w:customStyle="1" w:styleId="OtherTok">
    <w:name w:val="OtherTok"/>
    <w:basedOn w:val="VerbatimChar"/>
    <w:rPr>
      <w:rFonts w:ascii="Consolas" w:hAnsi="Consolas"/>
      <w:sz w:val="22"/>
    </w:rPr>
  </w:style>
  <w:style w:type="character" w:customStyle="1" w:styleId="FunctionTok">
    <w:name w:val="FunctionTok"/>
    <w:basedOn w:val="VerbatimChar"/>
    <w:rPr>
      <w:rFonts w:ascii="Consolas" w:hAnsi="Consolas"/>
      <w:sz w:val="22"/>
    </w:rPr>
  </w:style>
  <w:style w:type="character" w:customStyle="1" w:styleId="VariableTok">
    <w:name w:val="VariableTok"/>
    <w:basedOn w:val="VerbatimChar"/>
    <w:rPr>
      <w:rFonts w:ascii="Consolas" w:hAnsi="Consolas"/>
      <w:sz w:val="22"/>
    </w:rPr>
  </w:style>
  <w:style w:type="character" w:customStyle="1" w:styleId="ControlFlowTok">
    <w:name w:val="ControlFlowTok"/>
    <w:basedOn w:val="VerbatimChar"/>
    <w:rPr>
      <w:rFonts w:ascii="Consolas" w:hAnsi="Consolas"/>
      <w:b/>
      <w:sz w:val="22"/>
    </w:rPr>
  </w:style>
  <w:style w:type="character" w:customStyle="1" w:styleId="OperatorTok">
    <w:name w:val="OperatorTok"/>
    <w:basedOn w:val="VerbatimChar"/>
    <w:rPr>
      <w:rFonts w:ascii="Consolas" w:hAnsi="Consolas"/>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b/>
      <w:sz w:val="22"/>
    </w:rPr>
  </w:style>
  <w:style w:type="character" w:customStyle="1" w:styleId="AttributeTok">
    <w:name w:val="AttributeTok"/>
    <w:basedOn w:val="VerbatimChar"/>
    <w:rPr>
      <w:rFonts w:ascii="Consolas" w:hAnsi="Consolas"/>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i/>
      <w:sz w:val="22"/>
    </w:rPr>
  </w:style>
  <w:style w:type="character" w:customStyle="1" w:styleId="WarningTok">
    <w:name w:val="WarningTok"/>
    <w:basedOn w:val="VerbatimChar"/>
    <w:rPr>
      <w:rFonts w:ascii="Consolas" w:hAnsi="Consolas"/>
      <w:i/>
      <w:sz w:val="22"/>
    </w:rPr>
  </w:style>
  <w:style w:type="character" w:customStyle="1" w:styleId="AlertTok">
    <w:name w:val="AlertTok"/>
    <w:basedOn w:val="VerbatimChar"/>
    <w:rPr>
      <w:rFonts w:ascii="Consolas" w:hAnsi="Consolas"/>
      <w:b/>
      <w:sz w:val="22"/>
    </w:rPr>
  </w:style>
  <w:style w:type="character" w:customStyle="1" w:styleId="ErrorTok">
    <w:name w:val="ErrorTok"/>
    <w:basedOn w:val="VerbatimChar"/>
    <w:rPr>
      <w:rFonts w:ascii="Consolas" w:hAnsi="Consolas"/>
      <w:b/>
      <w:sz w:val="22"/>
    </w:rPr>
  </w:style>
  <w:style w:type="character" w:customStyle="1" w:styleId="NormalTok">
    <w:name w:val="NormalTok"/>
    <w:basedOn w:val="VerbatimChar"/>
    <w:rPr>
      <w:rFonts w:ascii="Consolas" w:hAnsi="Consolas"/>
      <w:sz w:val="22"/>
    </w:rPr>
  </w:style>
  <w:style w:type="character" w:customStyle="1" w:styleId="BodyTextChar">
    <w:name w:val="Body Text Char"/>
    <w:basedOn w:val="DefaultParagraphFont"/>
    <w:link w:val="BodyText"/>
    <w:rsid w:val="00667900"/>
  </w:style>
  <w:style w:type="character" w:styleId="LineNumber">
    <w:name w:val="line number"/>
    <w:basedOn w:val="DefaultParagraphFont"/>
    <w:semiHidden/>
    <w:unhideWhenUsed/>
    <w:rsid w:val="00FF15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26" Target="media/rId26.png" /><Relationship Type="http://schemas.openxmlformats.org/officeDocument/2006/relationships/image" Id="rId42" Target="media/rId42.png" /><Relationship Type="http://schemas.openxmlformats.org/officeDocument/2006/relationships/image" Id="rId54" Target="media/rId5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hyperlink" Id="rId22" Target="mailto:guittarj@msu.edu" TargetMode="External" /></Relationships>
</file>

<file path=word/_rels/footnotes.xml.rels><?xml version="1.0" encoding="UTF-8"?>
<Relationships xmlns="http://schemas.openxmlformats.org/package/2006/relationships"><Relationship Type="http://schemas.openxmlformats.org/officeDocument/2006/relationships/hyperlink" Id="rId22" Target="mailto:guittarj@ms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361</Words>
  <Characters>2060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2018-07-06T21:20:22Z</dcterms:created>
  <dcterms:modified xsi:type="dcterms:W3CDTF">2018-07-06T21:20:22Z</dcterms:modified>
</cp:coreProperties>
</file>