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Outreach Strategic Goals, Parking Lot &amp; Annual Report</w:t>
      </w:r>
    </w:p>
    <w:p>
      <w:r>
        <w:rPr>
          <w:i/>
        </w:rPr>
        <w:t>A single living document. Reviewed during the monthly Strategic Plan Review and refreshed each August as part of the Annual Outreach Report.</w:t>
      </w:r>
    </w:p>
    <w:p>
      <w:pPr>
        <w:pStyle w:val="Heading1"/>
      </w:pPr>
      <w:r>
        <w:t>1. Long-Term Strategic Goals (Multi-Year)</w:t>
      </w:r>
    </w:p>
    <w:p>
      <w:r>
        <w:t>Aspirations the outreach role is working toward over the next 2–3 years. These do not need quarterly action — they are the north star that quarterly priorities ladder up 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Long-Term Goal</w:t>
            </w:r>
          </w:p>
        </w:tc>
        <w:tc>
          <w:tcPr>
            <w:tcW w:type="dxa" w:w="2880"/>
          </w:tcPr>
          <w:p>
            <w:r>
              <w:t>Why it matters</w:t>
            </w:r>
          </w:p>
        </w:tc>
        <w:tc>
          <w:tcPr>
            <w:tcW w:type="dxa" w:w="2880"/>
          </w:tcPr>
          <w:p>
            <w:r>
              <w:t>How we'll know we got there</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pPr>
        <w:pStyle w:val="Heading1"/>
      </w:pPr>
      <w:r>
        <w:t>2. Parking Lot — Ideas Not This Year But Not Forgotten</w:t>
      </w:r>
    </w:p>
    <w:p>
      <w:r>
        <w:t>Ideas worth keeping but intentionally deferred. Reviewed at the monthly Strategic Plan Review and revisited each August to decide whether to activate, hold, or retire.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Idea</w:t>
            </w:r>
          </w:p>
        </w:tc>
        <w:tc>
          <w:tcPr>
            <w:tcW w:type="dxa" w:w="2160"/>
          </w:tcPr>
          <w:p>
            <w:r>
              <w:t>Source / Date Added</w:t>
            </w:r>
          </w:p>
        </w:tc>
        <w:tc>
          <w:tcPr>
            <w:tcW w:type="dxa" w:w="2160"/>
          </w:tcPr>
          <w:p>
            <w:r>
              <w:t>Why parked</w:t>
            </w:r>
          </w:p>
        </w:tc>
        <w:tc>
          <w:tcPr>
            <w:tcW w:type="dxa" w:w="2160"/>
          </w:tcPr>
          <w:p>
            <w:r>
              <w:t>Revisit when</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pPr>
        <w:pStyle w:val="Heading1"/>
      </w:pPr>
      <w:r>
        <w:t>3. Annual Outreach Report (Due August, Fiscal Year)</w:t>
      </w:r>
    </w:p>
    <w:p>
      <w:r>
        <w:t>The Coordinator produces one Annual Outreach Report each August. It covers the prior fiscal year (July–June) and sets the strategic focus for the new fiscal year. The recommendations section becomes the operative plan for the year ahead.</w:t>
      </w:r>
    </w:p>
    <w:p>
      <w:r>
        <w:rPr>
          <w:i/>
        </w:rPr>
        <w:t>The Coordinator excerpts highlights from this report for the Task Force’s October Year in Review — no separate document needed.</w:t>
      </w:r>
    </w:p>
    <w:p>
      <w:r>
        <w:rPr>
          <w:b/>
        </w:rPr>
        <w:t>Recommended sections:</w:t>
      </w:r>
    </w:p>
    <w:p>
      <w:pPr>
        <w:pStyle w:val="ListBullet"/>
      </w:pPr>
      <w:r>
        <w:rPr>
          <w:b/>
        </w:rPr>
        <w:t xml:space="preserve">Year at a Glance: </w:t>
      </w:r>
      <w:r>
        <w:t>Key numbers — trainings delivered, professionals reached, partners recruited, legislative meetings held, etc.</w:t>
      </w:r>
    </w:p>
    <w:p>
      <w:pPr>
        <w:pStyle w:val="ListBullet"/>
      </w:pPr>
      <w:r>
        <w:rPr>
          <w:b/>
        </w:rPr>
        <w:t xml:space="preserve">Awareness &amp; Professional Education: </w:t>
      </w:r>
      <w:r>
        <w:t>What was promoted, who was reached, FASD Awareness Month outcomes.</w:t>
      </w:r>
    </w:p>
    <w:p>
      <w:pPr>
        <w:pStyle w:val="ListBullet"/>
      </w:pPr>
      <w:r>
        <w:rPr>
          <w:b/>
        </w:rPr>
        <w:t xml:space="preserve">FASD Initiative Outreach &amp; Partner Recruitment: </w:t>
      </w:r>
      <w:r>
        <w:t>Which initiatives were active, partners recruited, focus groups convened, sites engaged.</w:t>
      </w:r>
    </w:p>
    <w:p>
      <w:pPr>
        <w:pStyle w:val="ListBullet"/>
      </w:pPr>
      <w:r>
        <w:rPr>
          <w:b/>
        </w:rPr>
        <w:t xml:space="preserve">Policy &amp; Legislative Engagement: </w:t>
      </w:r>
      <w:r>
        <w:t>Champions identified, meetings held, policy moments supported.</w:t>
      </w:r>
    </w:p>
    <w:p>
      <w:pPr>
        <w:pStyle w:val="ListBullet"/>
      </w:pPr>
      <w:r>
        <w:rPr>
          <w:b/>
        </w:rPr>
        <w:t xml:space="preserve">Task Force Operations: </w:t>
      </w:r>
      <w:r>
        <w:t>Meeting attendance, micro-commitments captured and completed, prep packets delivered.</w:t>
      </w:r>
    </w:p>
    <w:p>
      <w:pPr>
        <w:pStyle w:val="ListBullet"/>
      </w:pPr>
      <w:r>
        <w:rPr>
          <w:b/>
        </w:rPr>
        <w:t xml:space="preserve">What Worked / What Didn’t: </w:t>
      </w:r>
      <w:r>
        <w:t>Honest reflection on outreach approaches that landed and ones that didn’t.</w:t>
      </w:r>
    </w:p>
    <w:p>
      <w:pPr>
        <w:pStyle w:val="ListBullet"/>
      </w:pPr>
      <w:r>
        <w:rPr>
          <w:b/>
        </w:rPr>
        <w:t xml:space="preserve">Parking Lot Status: </w:t>
      </w:r>
      <w:r>
        <w:t>What came off the parking lot this year, what stayed, what was retired.</w:t>
      </w:r>
    </w:p>
    <w:p>
      <w:pPr>
        <w:pStyle w:val="ListBullet"/>
      </w:pPr>
      <w:r>
        <w:rPr>
          <w:b/>
        </w:rPr>
        <w:t xml:space="preserve">Strategic Focus for the New FY: </w:t>
      </w:r>
      <w:r>
        <w:t>The operative plan for the year ahead — priorities, goals, and what to drop or amplify. This is the section that becomes the active strategic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