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FASD Mental Health Onboarding Manual</w:t>
      </w:r>
    </w:p>
    <w:p>
      <w:pPr>
        <w:pStyle w:val="Heading1"/>
      </w:pPr>
      <w:r>
        <w:t>Open Questions / Follow-Ups</w:t>
      </w:r>
    </w:p>
    <w:p>
      <w:r>
        <w:t>Running list of items to confirm before the related manual guidance can be considered final. Update or remove items as answers come in.</w:t>
      </w:r>
    </w:p>
    <w:p>
      <w:pPr>
        <w:pStyle w:val="Heading2"/>
      </w:pPr>
      <w:r>
        <w:t>For Charmian / Jackie</w:t>
      </w:r>
    </w:p>
    <w:p>
      <w:pPr>
        <w:pStyle w:val="ListBullet"/>
      </w:pPr>
      <w:r>
        <w:rPr>
          <w:b/>
        </w:rPr>
        <w:t xml:space="preserve">H2019 under "G-Fetal Alcohol-Srq Office" payor. </w:t>
      </w:r>
      <w:r>
        <w:t>Can H2019 be billed under "G-Fetal Alcohol-Srq Office" when Jackie is out of units and we cannot get approval for additional units? Confirm before relying on this in §3 of the manual.</w:t>
      </w:r>
    </w:p>
    <w:p>
      <w:pPr>
        <w:pStyle w:val="ListBullet"/>
      </w:pPr>
      <w:r>
        <w:rPr>
          <w:b/>
        </w:rPr>
        <w:t xml:space="preserve">Out-of-area therapists. </w:t>
      </w:r>
      <w:r>
        <w:t>If a therapist working out of another location (for example, Orlando) provides therapy to an FASD client, which payor or office code should be used? Neither "G-Fetal Alcohol County" nor "G-Fetal Alcohol-Srq Office" clearly covers services delivered from outside the Sarasota area. Confirm before billing.</w:t>
      </w:r>
    </w:p>
    <w:p>
      <w:pPr>
        <w:pStyle w:val="Heading2"/>
      </w:pPr>
      <w:r>
        <w:t>Confirm Current Practice</w:t>
      </w:r>
    </w:p>
    <w:p>
      <w:pPr>
        <w:pStyle w:val="ListBullet"/>
      </w:pPr>
      <w:r>
        <w:rPr>
          <w:b/>
        </w:rPr>
        <w:t xml:space="preserve">Who bills assessments for interns? </w:t>
      </w:r>
      <w:r>
        <w:t>Older guidance (Oct 30 2024 "Revised Summary of Procedures") says the supervisor bills the assessment and writes the DAP note; the intern's job is to notify the supervisor of client name/ID, date, and time. Newer practice has interns billing "FASD Consult" in Lauris themselves. Confirm which is current so the older rule can be removed from the manual.</w:t>
      </w:r>
    </w:p>
    <w:p>
      <w:pPr>
        <w:pStyle w:val="Heading2"/>
      </w:pPr>
      <w:r>
        <w:t>Groups (Confirm Before Adding to Manual)</w:t>
      </w:r>
    </w:p>
    <w:p>
      <w:pPr>
        <w:pStyle w:val="ListBullet"/>
      </w:pPr>
      <w:r>
        <w:rPr>
          <w:b/>
        </w:rPr>
        <w:t xml:space="preserve">Group + Individual on the same day. </w:t>
      </w:r>
      <w:r>
        <w:t>The PowerPoint says group (H2019 HQ) and individual (H2019 HR) cannot occur on the same day. The PowerPoint Review notes this is not a state Medicaid rule — but Bobbie (former biller) used to bounce these back. Confirm whether this is still an agency policy we should document, or whether it can be dropped.</w:t>
      </w:r>
    </w:p>
    <w:p>
      <w:pPr>
        <w:pStyle w:val="ListBullet"/>
      </w:pPr>
      <w:r>
        <w:rPr>
          <w:b/>
        </w:rPr>
        <w:t xml:space="preserve">Group therapy workflow. </w:t>
      </w:r>
      <w:r>
        <w:t>The PowerPoint outlines the group workflow: for each participant, complete (1) Intake, (2) PSY or IDA — H0031 HN, (3) TP — H0032, (4) CFARS — H0031 (Medicaid or FKC clients only), then (5) bill group sessions — H2019 HQ. Confirm whether to include this in the manual and whether anything has changed.</w:t>
      </w:r>
    </w:p>
    <w:p>
      <w:pPr>
        <w:pStyle w:val="Heading2"/>
      </w:pPr>
      <w:r>
        <w:t>Sunshine Codes — Verify with Sunshine Provider Manual or Melissa</w:t>
      </w:r>
    </w:p>
    <w:p>
      <w:pPr>
        <w:pStyle w:val="ListBullet"/>
      </w:pPr>
      <w:r>
        <w:rPr>
          <w:b/>
        </w:rPr>
        <w:t xml:space="preserve">T1027 unit cap. </w:t>
      </w:r>
      <w:r>
        <w:t>The current manual says T1027 is 200 units per fiscal year. The How to Bill PowerPoint says max 36 units / 9 hours per month. These don't reconcile (36 × 12 = 432). Confirm the correct cap with the Sunshine Health provider manual or Melissa, then update §3 codes 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