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26"/>
        </w:rPr>
        <w:t>TCGEngine</w:t>
      </w:r>
    </w:p>
    <w:p>
      <w:pPr>
        <w:spacing w:before="0" w:after="120"/>
      </w:pPr>
      <w:r>
        <w:rPr>
          <w:rFonts w:ascii="Calibri" w:hAnsi="Calibri"/>
          <w:b/>
          <w:color w:val="172033"/>
          <w:sz w:val="54"/>
        </w:rPr>
        <w:t>Remote Frontend Integration Guide</w:t>
      </w:r>
    </w:p>
    <w:p>
      <w:pPr>
        <w:spacing w:after="360"/>
      </w:pPr>
      <w:r>
        <w:rPr>
          <w:rFonts w:ascii="Calibri" w:hAnsi="Calibri"/>
          <w:color w:val="5F6B7A"/>
          <w:sz w:val="24"/>
        </w:rPr>
        <w:t>A practical contract for connecting a custom client to an existing AzukiSim game hosted on petranaki.net</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color w:val="1F4D78"/>
                <w:sz w:val="21"/>
              </w:rPr>
              <w:t xml:space="preserve">Integration model: </w:t>
            </w:r>
            <w:r>
              <w:rPr>
                <w:rFonts w:ascii="Calibri" w:hAnsi="Calibri"/>
                <w:color w:val="172033"/>
                <w:sz w:val="21"/>
              </w:rPr>
              <w:t>the remote engine remains authoritative. Your frontend reads snapshots, renders them however it likes, and submits only legal intents back to the engine. It does not calculate game rules or mutate game state locally.</w:t>
            </w:r>
          </w:p>
        </w:tc>
      </w:tr>
    </w:tbl>
    <w:p>
      <w:pPr>
        <w:pStyle w:val="Heading1"/>
      </w:pPr>
      <w:r>
        <w:t>What this guide covers</w:t>
      </w:r>
    </w:p>
    <w:p>
      <w:r>
        <w:rPr>
          <w:rFonts w:ascii="Calibri" w:hAnsi="Calibri"/>
          <w:color w:val="172033"/>
          <w:sz w:val="22"/>
        </w:rPr>
        <w:t>This guide is for a friend building a replacement web frontend for an already-running AzukiSim match. It documents the production transport that the bundled browser client uses today: the long-poll state feed, the action endpoint, player and spectator authentication, decisions, chat, and the current delimiter-based snapshot format.</w:t>
      </w:r>
    </w:p>
    <w:p>
      <w:r>
        <w:rPr>
          <w:rFonts w:ascii="Calibri" w:hAnsi="Calibri"/>
          <w:color w:val="172033"/>
          <w:sz w:val="22"/>
        </w:rPr>
        <w:t>It intentionally does not describe creating games, account management, deck builders, or internal admin/regression controls. Those are separate, sim- and deployment-specific surfaces.</w:t>
      </w:r>
    </w:p>
    <w:p>
      <w:pPr>
        <w:pStyle w:val="Heading1"/>
      </w:pPr>
      <w:r>
        <w:t>1. Start with a real seat or spectator link</w:t>
      </w:r>
    </w:p>
    <w:p>
      <w:r>
        <w:rPr>
          <w:rFonts w:ascii="Calibri" w:hAnsi="Calibri"/>
          <w:color w:val="172033"/>
          <w:sz w:val="22"/>
        </w:rPr>
        <w:t>The remote game is identified by its gameName, root folderPath, viewer identity, and authKey. Those values are normally present in the engine's NextTurn link. Treat the authKey as a bearer credential: anyone who has a player-seat link can issue actions for that seat.</w:t>
      </w:r>
    </w:p>
    <w:tbl>
      <w:tblPr>
        <w:tblStyle w:val="TableGrid"/>
        <w:tblW w:type="dxa" w:w="9360"/>
        <w:tblLayout w:type="fixed"/>
        <w:tblLook w:firstColumn="1" w:firstRow="1" w:lastColumn="0" w:lastRow="0" w:noHBand="0" w:noVBand="1" w:val="04A0"/>
        <w:tblInd w:type="dxa" w:w="120"/>
      </w:tblPr>
      <w:tblGrid>
        <w:gridCol w:w="1800"/>
        <w:gridCol w:w="2200"/>
        <w:gridCol w:w="5360"/>
      </w:tblGrid>
      <w:tr>
        <w:tc>
          <w:tcPr>
            <w:tcW w:type="dxa" w:w="1800"/>
            <w:vAlign w:val="center"/>
            <w:tcMar>
              <w:top w:w="80" w:type="dxa"/>
              <w:start w:w="120" w:type="dxa"/>
              <w:bottom w:w="80" w:type="dxa"/>
              <w:end w:w="120" w:type="dxa"/>
            </w:tcMar>
            <w:shd w:fill="E8EEF5"/>
          </w:tcPr>
          <w:p>
            <w:pPr>
              <w:spacing w:after="0"/>
            </w:pPr>
            <w:r>
              <w:rPr>
                <w:rFonts w:ascii="Calibri" w:hAnsi="Calibri"/>
                <w:b/>
                <w:color w:val="1F4D78"/>
                <w:sz w:val="19"/>
              </w:rPr>
              <w:t>Viewer</w:t>
            </w:r>
          </w:p>
        </w:tc>
        <w:tc>
          <w:tcPr>
            <w:tcW w:type="dxa" w:w="2200"/>
            <w:vAlign w:val="center"/>
            <w:tcMar>
              <w:top w:w="80" w:type="dxa"/>
              <w:start w:w="120" w:type="dxa"/>
              <w:bottom w:w="80" w:type="dxa"/>
              <w:end w:w="120" w:type="dxa"/>
            </w:tcMar>
            <w:shd w:fill="E8EEF5"/>
          </w:tcPr>
          <w:p>
            <w:pPr>
              <w:spacing w:after="0"/>
            </w:pPr>
            <w:r>
              <w:rPr>
                <w:rFonts w:ascii="Calibri" w:hAnsi="Calibri"/>
                <w:b/>
                <w:color w:val="1F4D78"/>
                <w:sz w:val="19"/>
              </w:rPr>
              <w:t>Request identity</w:t>
            </w:r>
          </w:p>
        </w:tc>
        <w:tc>
          <w:tcPr>
            <w:tcW w:type="dxa" w:w="5360"/>
            <w:vAlign w:val="center"/>
            <w:tcMar>
              <w:top w:w="80" w:type="dxa"/>
              <w:start w:w="120" w:type="dxa"/>
              <w:bottom w:w="80" w:type="dxa"/>
              <w:end w:w="120" w:type="dxa"/>
            </w:tcMar>
            <w:shd w:fill="E8EEF5"/>
          </w:tcPr>
          <w:p>
            <w:pPr>
              <w:spacing w:after="0"/>
            </w:pPr>
            <w:r>
              <w:rPr>
                <w:rFonts w:ascii="Calibri" w:hAnsi="Calibri"/>
                <w:b/>
                <w:color w:val="1F4D78"/>
                <w:sz w:val="19"/>
              </w:rPr>
              <w:t>Visibility and authority</w:t>
            </w:r>
          </w:p>
        </w:tc>
      </w:tr>
      <w:tr>
        <w:tc>
          <w:tcPr>
            <w:tcW w:type="dxa" w:w="1800"/>
          </w:tcPr>
          <w:p>
            <w:pPr>
              <w:spacing w:after="0"/>
            </w:pPr>
            <w:r>
              <w:rPr>
                <w:rFonts w:ascii="Calibri" w:hAnsi="Calibri"/>
                <w:color w:val="172033"/>
                <w:sz w:val="18"/>
              </w:rPr>
              <w:t>Player 1 or 2</w:t>
            </w:r>
          </w:p>
        </w:tc>
        <w:tc>
          <w:tcPr>
            <w:tcW w:type="dxa" w:w="2200"/>
          </w:tcPr>
          <w:p>
            <w:pPr>
              <w:spacing w:after="0"/>
            </w:pPr>
            <w:r>
              <w:rPr>
                <w:rFonts w:ascii="Calibri" w:hAnsi="Calibri"/>
                <w:color w:val="172033"/>
                <w:sz w:val="18"/>
              </w:rPr>
              <w:t>playerID=1 or playerID=2</w:t>
            </w:r>
          </w:p>
        </w:tc>
        <w:tc>
          <w:tcPr>
            <w:tcW w:type="dxa" w:w="5360"/>
          </w:tcPr>
          <w:p>
            <w:pPr>
              <w:spacing w:after="0"/>
            </w:pPr>
            <w:r>
              <w:rPr>
                <w:rFonts w:ascii="Calibri" w:hAnsi="Calibri"/>
                <w:color w:val="172033"/>
                <w:sz w:val="18"/>
              </w:rPr>
              <w:t>Receives that seat's private hand/temp-zone cards and may submit actions when the server permits it.</w:t>
            </w:r>
          </w:p>
        </w:tc>
      </w:tr>
      <w:tr>
        <w:tc>
          <w:tcPr>
            <w:tcW w:type="dxa" w:w="1800"/>
          </w:tcPr>
          <w:p>
            <w:pPr>
              <w:spacing w:after="0"/>
            </w:pPr>
            <w:r>
              <w:rPr>
                <w:rFonts w:ascii="Calibri" w:hAnsi="Calibri"/>
                <w:color w:val="172033"/>
                <w:sz w:val="18"/>
              </w:rPr>
              <w:t>Spectator</w:t>
            </w:r>
          </w:p>
        </w:tc>
        <w:tc>
          <w:tcPr>
            <w:tcW w:type="dxa" w:w="2200"/>
          </w:tcPr>
          <w:p>
            <w:pPr>
              <w:spacing w:after="0"/>
            </w:pPr>
            <w:r>
              <w:rPr>
                <w:rFonts w:ascii="Calibri" w:hAnsi="Calibri"/>
                <w:color w:val="172033"/>
                <w:sz w:val="18"/>
              </w:rPr>
              <w:t>playerID=S; optional viewerPerspective=1 or 2</w:t>
            </w:r>
          </w:p>
        </w:tc>
        <w:tc>
          <w:tcPr>
            <w:tcW w:type="dxa" w:w="5360"/>
          </w:tcPr>
          <w:p>
            <w:pPr>
              <w:spacing w:after="0"/>
            </w:pPr>
            <w:r>
              <w:rPr>
                <w:rFonts w:ascii="Calibri" w:hAnsi="Calibri"/>
                <w:color w:val="172033"/>
                <w:sz w:val="18"/>
              </w:rPr>
              <w:t>Read-only. Private games require the spectator key; public-game spectator policy is game-specific.</w:t>
            </w:r>
          </w:p>
        </w:tc>
      </w:tr>
    </w:tbl>
    <w:p>
      <w:pPr>
        <w:spacing w:after="40"/>
      </w:pPr>
    </w:p>
    <w:p>
      <w:r>
        <w:rPr>
          <w:rFonts w:ascii="Calibri" w:hAnsi="Calibri"/>
          <w:b/>
          <w:color w:val="172033"/>
          <w:sz w:val="22"/>
        </w:rPr>
        <w:t>Use the exact deployment prefix</w:t>
      </w:r>
      <w:r>
        <w:rPr>
          <w:rFonts w:ascii="Calibri" w:hAnsi="Calibri"/>
          <w:color w:val="172033"/>
          <w:sz w:val="22"/>
        </w:rPr>
        <w:t xml:space="preserve"> supplied by the host. The examples below assume https://petranaki.net/TCGEngine, but the frontend should keep this as configuration because a host can mount TCGEngine under a different path.</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1F2937"/>
          </w:tcPr>
          <w:p>
            <w:pPr>
              <w:spacing w:after="0" w:line="240" w:lineRule="auto"/>
            </w:pPr>
            <w:r>
              <w:rPr>
                <w:rFonts w:ascii="Consolas" w:hAnsi="Consolas"/>
                <w:color w:val="FFFFFF"/>
                <w:sz w:val="16"/>
              </w:rPr>
              <w:t>const config = {</w:t>
            </w:r>
            <w:r>
              <w:br/>
            </w:r>
            <w:r>
              <w:rPr>
                <w:rFonts w:ascii="Consolas" w:hAnsi="Consolas"/>
                <w:color w:val="FFFFFF"/>
                <w:sz w:val="16"/>
              </w:rPr>
              <w:t xml:space="preserve">  baseUrl: 'https://petranaki.net/TCGEngine', // verify deployment path</w:t>
            </w:r>
            <w:r>
              <w:br/>
            </w:r>
            <w:r>
              <w:rPr>
                <w:rFonts w:ascii="Consolas" w:hAnsi="Consolas"/>
                <w:color w:val="FFFFFF"/>
                <w:sz w:val="16"/>
              </w:rPr>
              <w:t xml:space="preserve">  folderPath: 'AzukiSim',</w:t>
            </w:r>
            <w:r>
              <w:br/>
            </w:r>
            <w:r>
              <w:rPr>
                <w:rFonts w:ascii="Consolas" w:hAnsi="Consolas"/>
                <w:color w:val="FFFFFF"/>
                <w:sz w:val="16"/>
              </w:rPr>
              <w:t xml:space="preserve">  gameName: '37',</w:t>
            </w:r>
            <w:r>
              <w:br/>
            </w:r>
            <w:r>
              <w:rPr>
                <w:rFonts w:ascii="Consolas" w:hAnsi="Consolas"/>
                <w:color w:val="FFFFFF"/>
                <w:sz w:val="16"/>
              </w:rPr>
              <w:t xml:space="preserve">  playerID: '1',       // or '2' / 'S'</w:t>
            </w:r>
            <w:r>
              <w:br/>
            </w:r>
            <w:r>
              <w:rPr>
                <w:rFonts w:ascii="Consolas" w:hAnsi="Consolas"/>
                <w:color w:val="FFFFFF"/>
                <w:sz w:val="16"/>
              </w:rPr>
              <w:t xml:space="preserve">  viewerPerspective: '1', // meaningful for spectator views</w:t>
            </w:r>
            <w:r>
              <w:br/>
            </w:r>
            <w:r>
              <w:rPr>
                <w:rFonts w:ascii="Consolas" w:hAnsi="Consolas"/>
                <w:color w:val="FFFFFF"/>
                <w:sz w:val="16"/>
              </w:rPr>
              <w:t xml:space="preserve">  authKey: '&lt;seat-or-spectator-key&gt;'</w:t>
            </w:r>
            <w:r>
              <w:br/>
            </w:r>
            <w:r>
              <w:rPr>
                <w:rFonts w:ascii="Consolas" w:hAnsi="Consolas"/>
                <w:color w:val="FFFFFF"/>
                <w:sz w:val="16"/>
              </w:rPr>
              <w:t>};</w:t>
            </w:r>
          </w:p>
        </w:tc>
      </w:tr>
    </w:tbl>
    <w:p>
      <w:pPr>
        <w:spacing w:after="20"/>
      </w:pPr>
    </w:p>
    <w:p>
      <w:pPr>
        <w:pStyle w:val="Heading1"/>
      </w:pPr>
      <w:r>
        <w:t>2. Transport overview</w:t>
      </w:r>
    </w:p>
    <w:tbl>
      <w:tblPr>
        <w:tblStyle w:val="TableGrid"/>
        <w:tblW w:type="dxa" w:w="9360"/>
        <w:tblLayout w:type="fixed"/>
        <w:tblLook w:firstColumn="1" w:firstRow="1" w:lastColumn="0" w:lastRow="0" w:noHBand="0" w:noVBand="1" w:val="04A0"/>
        <w:tblInd w:type="dxa" w:w="120"/>
      </w:tblPr>
      <w:tblGrid>
        <w:gridCol w:w="1840"/>
        <w:gridCol w:w="2680"/>
        <w:gridCol w:w="4840"/>
      </w:tblGrid>
      <w:tr>
        <w:tc>
          <w:tcPr>
            <w:tcW w:type="dxa" w:w="1840"/>
            <w:vAlign w:val="center"/>
            <w:tcMar>
              <w:top w:w="80" w:type="dxa"/>
              <w:start w:w="120" w:type="dxa"/>
              <w:bottom w:w="80" w:type="dxa"/>
              <w:end w:w="120" w:type="dxa"/>
            </w:tcMar>
            <w:shd w:fill="E8EEF5"/>
          </w:tcPr>
          <w:p>
            <w:pPr>
              <w:spacing w:after="0"/>
            </w:pPr>
            <w:r>
              <w:rPr>
                <w:rFonts w:ascii="Calibri" w:hAnsi="Calibri"/>
                <w:b/>
                <w:color w:val="1F4D78"/>
                <w:sz w:val="19"/>
              </w:rPr>
              <w:t>Purpose</w:t>
            </w:r>
          </w:p>
        </w:tc>
        <w:tc>
          <w:tcPr>
            <w:tcW w:type="dxa" w:w="2680"/>
            <w:vAlign w:val="center"/>
            <w:tcMar>
              <w:top w:w="80" w:type="dxa"/>
              <w:start w:w="120" w:type="dxa"/>
              <w:bottom w:w="80" w:type="dxa"/>
              <w:end w:w="120" w:type="dxa"/>
            </w:tcMar>
            <w:shd w:fill="E8EEF5"/>
          </w:tcPr>
          <w:p>
            <w:pPr>
              <w:spacing w:after="0"/>
            </w:pPr>
            <w:r>
              <w:rPr>
                <w:rFonts w:ascii="Calibri" w:hAnsi="Calibri"/>
                <w:b/>
                <w:color w:val="1F4D78"/>
                <w:sz w:val="19"/>
              </w:rPr>
              <w:t>Endpoint</w:t>
            </w:r>
          </w:p>
        </w:tc>
        <w:tc>
          <w:tcPr>
            <w:tcW w:type="dxa" w:w="4840"/>
            <w:vAlign w:val="center"/>
            <w:tcMar>
              <w:top w:w="80" w:type="dxa"/>
              <w:start w:w="120" w:type="dxa"/>
              <w:bottom w:w="80" w:type="dxa"/>
              <w:end w:w="120" w:type="dxa"/>
            </w:tcMar>
            <w:shd w:fill="E8EEF5"/>
          </w:tcPr>
          <w:p>
            <w:pPr>
              <w:spacing w:after="0"/>
            </w:pPr>
            <w:r>
              <w:rPr>
                <w:rFonts w:ascii="Calibri" w:hAnsi="Calibri"/>
                <w:b/>
                <w:color w:val="1F4D78"/>
                <w:sz w:val="19"/>
              </w:rPr>
              <w:t>Current wire format</w:t>
            </w:r>
          </w:p>
        </w:tc>
      </w:tr>
      <w:tr>
        <w:tc>
          <w:tcPr>
            <w:tcW w:type="dxa" w:w="1840"/>
          </w:tcPr>
          <w:p>
            <w:pPr>
              <w:spacing w:after="0"/>
            </w:pPr>
            <w:r>
              <w:rPr>
                <w:rFonts w:ascii="Calibri" w:hAnsi="Calibri"/>
                <w:color w:val="172033"/>
                <w:sz w:val="18"/>
              </w:rPr>
              <w:t>Read live game state</w:t>
            </w:r>
          </w:p>
        </w:tc>
        <w:tc>
          <w:tcPr>
            <w:tcW w:type="dxa" w:w="2680"/>
          </w:tcPr>
          <w:p>
            <w:pPr>
              <w:spacing w:after="0"/>
            </w:pPr>
            <w:r>
              <w:rPr>
                <w:rFonts w:ascii="Calibri" w:hAnsi="Calibri"/>
                <w:color w:val="172033"/>
                <w:sz w:val="18"/>
              </w:rPr>
              <w:t>GET /AzukiSim/GetNextTurn.php</w:t>
            </w:r>
          </w:p>
        </w:tc>
        <w:tc>
          <w:tcPr>
            <w:tcW w:type="dxa" w:w="4840"/>
          </w:tcPr>
          <w:p>
            <w:pPr>
              <w:spacing w:after="0"/>
            </w:pPr>
            <w:r>
              <w:rPr>
                <w:rFonts w:ascii="Calibri" w:hAnsi="Calibri"/>
                <w:color w:val="172033"/>
                <w:sz w:val="18"/>
              </w:rPr>
              <w:t>Long-poll text response. Full board snapshots use &lt;~&gt; between fields and &lt;|&gt; between cards.</w:t>
            </w:r>
          </w:p>
        </w:tc>
      </w:tr>
      <w:tr>
        <w:tc>
          <w:tcPr>
            <w:tcW w:type="dxa" w:w="1840"/>
          </w:tcPr>
          <w:p>
            <w:pPr>
              <w:spacing w:after="0"/>
            </w:pPr>
            <w:r>
              <w:rPr>
                <w:rFonts w:ascii="Calibri" w:hAnsi="Calibri"/>
                <w:color w:val="172033"/>
                <w:sz w:val="18"/>
              </w:rPr>
              <w:t>Submit a game action</w:t>
            </w:r>
          </w:p>
        </w:tc>
        <w:tc>
          <w:tcPr>
            <w:tcW w:type="dxa" w:w="2680"/>
          </w:tcPr>
          <w:p>
            <w:pPr>
              <w:spacing w:after="0"/>
            </w:pPr>
            <w:r>
              <w:rPr>
                <w:rFonts w:ascii="Calibri" w:hAnsi="Calibri"/>
                <w:color w:val="172033"/>
                <w:sz w:val="18"/>
              </w:rPr>
              <w:t>GET /ProcessInput.php</w:t>
            </w:r>
          </w:p>
        </w:tc>
        <w:tc>
          <w:tcPr>
            <w:tcW w:type="dxa" w:w="4840"/>
          </w:tcPr>
          <w:p>
            <w:pPr>
              <w:spacing w:after="0"/>
            </w:pPr>
            <w:r>
              <w:rPr>
                <w:rFonts w:ascii="Calibri" w:hAnsi="Calibri"/>
                <w:color w:val="172033"/>
                <w:sz w:val="18"/>
              </w:rPr>
              <w:t>Query-string action request. Optional responseFormat=json returns only an acknowledgement; pull state again after it.</w:t>
            </w:r>
          </w:p>
        </w:tc>
      </w:tr>
      <w:tr>
        <w:tc>
          <w:tcPr>
            <w:tcW w:type="dxa" w:w="1840"/>
          </w:tcPr>
          <w:p>
            <w:pPr>
              <w:spacing w:after="0"/>
            </w:pPr>
            <w:r>
              <w:rPr>
                <w:rFonts w:ascii="Calibri" w:hAnsi="Calibri"/>
                <w:color w:val="172033"/>
                <w:sz w:val="18"/>
              </w:rPr>
              <w:t>Open a zone popup (optional)</w:t>
            </w:r>
          </w:p>
        </w:tc>
        <w:tc>
          <w:tcPr>
            <w:tcW w:type="dxa" w:w="2680"/>
          </w:tcPr>
          <w:p>
            <w:pPr>
              <w:spacing w:after="0"/>
            </w:pPr>
            <w:r>
              <w:rPr>
                <w:rFonts w:ascii="Calibri" w:hAnsi="Calibri"/>
                <w:color w:val="172033"/>
                <w:sz w:val="18"/>
              </w:rPr>
              <w:t>GET /GetPopupContent.php</w:t>
            </w:r>
          </w:p>
        </w:tc>
        <w:tc>
          <w:tcPr>
            <w:tcW w:type="dxa" w:w="4840"/>
          </w:tcPr>
          <w:p>
            <w:pPr>
              <w:spacing w:after="0"/>
            </w:pPr>
            <w:r>
              <w:rPr>
                <w:rFonts w:ascii="Calibri" w:hAnsi="Calibri"/>
                <w:color w:val="172033"/>
                <w:sz w:val="18"/>
              </w:rPr>
              <w:t>Legacy popup payload. A custom UI can usually render from the main snapshot instead.</w:t>
            </w:r>
          </w:p>
        </w:tc>
      </w:tr>
      <w:tr>
        <w:tc>
          <w:tcPr>
            <w:tcW w:type="dxa" w:w="1840"/>
          </w:tcPr>
          <w:p>
            <w:pPr>
              <w:spacing w:after="0"/>
            </w:pPr>
            <w:r>
              <w:rPr>
                <w:rFonts w:ascii="Calibri" w:hAnsi="Calibri"/>
                <w:color w:val="172033"/>
                <w:sz w:val="18"/>
              </w:rPr>
              <w:t>Send chat (optional)</w:t>
            </w:r>
          </w:p>
        </w:tc>
        <w:tc>
          <w:tcPr>
            <w:tcW w:type="dxa" w:w="2680"/>
          </w:tcPr>
          <w:p>
            <w:pPr>
              <w:spacing w:after="0"/>
            </w:pPr>
            <w:r>
              <w:rPr>
                <w:rFonts w:ascii="Calibri" w:hAnsi="Calibri"/>
                <w:color w:val="172033"/>
                <w:sz w:val="18"/>
              </w:rPr>
              <w:t>GET /SubmitChat.php</w:t>
            </w:r>
          </w:p>
        </w:tc>
        <w:tc>
          <w:tcPr>
            <w:tcW w:type="dxa" w:w="4840"/>
          </w:tcPr>
          <w:p>
            <w:pPr>
              <w:spacing w:after="0"/>
            </w:pPr>
            <w:r>
              <w:rPr>
                <w:rFonts w:ascii="Calibri" w:hAnsi="Calibri"/>
                <w:color w:val="172033"/>
                <w:sz w:val="18"/>
              </w:rPr>
              <w:t>Plain-text acknowledgement; chat deltas also arrive in the main long-poll response.</w:t>
            </w:r>
          </w:p>
        </w:tc>
      </w:tr>
    </w:tbl>
    <w:p>
      <w:pPr>
        <w:spacing w:after="40"/>
      </w:pPr>
    </w:p>
    <w:p>
      <w:r>
        <w:rPr>
          <w:rFonts w:ascii="Calibri" w:hAnsi="Calibri"/>
          <w:color w:val="172033"/>
          <w:sz w:val="22"/>
        </w:rPr>
        <w:t>This is not a JSON REST board API. Do not attempt to write game files, infer legal moves, or apply client-side state transitions. Submit an intent, then accept the server's next snapshot as the source of truth.</w:t>
      </w:r>
    </w:p>
    <w:p>
      <w:pPr>
        <w:pStyle w:val="Heading1"/>
      </w:pPr>
      <w:r>
        <w:t>3. Long-polling the board</w:t>
      </w:r>
    </w:p>
    <w:p>
      <w:r>
        <w:rPr>
          <w:rFonts w:ascii="Calibri" w:hAnsi="Calibri"/>
          <w:color w:val="172033"/>
          <w:sz w:val="22"/>
        </w:rPr>
        <w:t>Call the game-specific GetNextTurn.php endpoint continuously. The server waits until the game or chat version changes, then returns a delta-bearing snapshot. The current AzukiSim loop checks roughly every 25 ms for up to 100 iterations (about 2.5 seconds) before returning KEEPALIVE.</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1F2937"/>
          </w:tcPr>
          <w:p>
            <w:pPr>
              <w:spacing w:after="0" w:line="240" w:lineRule="auto"/>
            </w:pPr>
            <w:r>
              <w:rPr>
                <w:rFonts w:ascii="Consolas" w:hAnsi="Consolas"/>
                <w:color w:val="FFFFFF"/>
                <w:sz w:val="16"/>
              </w:rPr>
              <w:t>const POLL = '/AzukiSim/GetNextTurn.php';</w:t>
            </w:r>
            <w:r>
              <w:br/>
            </w:r>
            <w:r>
              <w:rPr>
                <w:rFonts w:ascii="Consolas" w:hAnsi="Consolas"/>
                <w:color w:val="FFFFFF"/>
                <w:sz w:val="16"/>
              </w:rPr>
            </w:r>
            <w:r>
              <w:br/>
            </w:r>
            <w:r>
              <w:rPr>
                <w:rFonts w:ascii="Consolas" w:hAnsi="Consolas"/>
                <w:color w:val="FFFFFF"/>
                <w:sz w:val="16"/>
              </w:rPr>
              <w:t>async function pollOnce(state) {</w:t>
            </w:r>
            <w:r>
              <w:br/>
            </w:r>
            <w:r>
              <w:rPr>
                <w:rFonts w:ascii="Consolas" w:hAnsi="Consolas"/>
                <w:color w:val="FFFFFF"/>
                <w:sz w:val="16"/>
              </w:rPr>
              <w:t xml:space="preserve">  const u = new URL(config.baseUrl + POLL);</w:t>
            </w:r>
            <w:r>
              <w:br/>
            </w:r>
            <w:r>
              <w:rPr>
                <w:rFonts w:ascii="Consolas" w:hAnsi="Consolas"/>
                <w:color w:val="FFFFFF"/>
                <w:sz w:val="16"/>
              </w:rPr>
              <w:t xml:space="preserve">  u.search = new URLSearchParams({</w:t>
            </w:r>
            <w:r>
              <w:br/>
            </w:r>
            <w:r>
              <w:rPr>
                <w:rFonts w:ascii="Consolas" w:hAnsi="Consolas"/>
                <w:color w:val="FFFFFF"/>
                <w:sz w:val="16"/>
              </w:rPr>
              <w:t xml:space="preserve">    gameName: config.gameName,</w:t>
            </w:r>
            <w:r>
              <w:br/>
            </w:r>
            <w:r>
              <w:rPr>
                <w:rFonts w:ascii="Consolas" w:hAnsi="Consolas"/>
                <w:color w:val="FFFFFF"/>
                <w:sz w:val="16"/>
              </w:rPr>
              <w:t xml:space="preserve">    playerID: config.playerID,</w:t>
            </w:r>
            <w:r>
              <w:br/>
            </w:r>
            <w:r>
              <w:rPr>
                <w:rFonts w:ascii="Consolas" w:hAnsi="Consolas"/>
                <w:color w:val="FFFFFF"/>
                <w:sz w:val="16"/>
              </w:rPr>
              <w:t xml:space="preserve">    viewerPerspective: config.viewerPerspective,</w:t>
            </w:r>
            <w:r>
              <w:br/>
            </w:r>
            <w:r>
              <w:rPr>
                <w:rFonts w:ascii="Consolas" w:hAnsi="Consolas"/>
                <w:color w:val="FFFFFF"/>
                <w:sz w:val="16"/>
              </w:rPr>
              <w:t xml:space="preserve">    authKey: config.authKey,</w:t>
            </w:r>
            <w:r>
              <w:br/>
            </w:r>
            <w:r>
              <w:rPr>
                <w:rFonts w:ascii="Consolas" w:hAnsi="Consolas"/>
                <w:color w:val="FFFFFF"/>
                <w:sz w:val="16"/>
              </w:rPr>
              <w:t xml:space="preserve">    lastUpdate: String(state.lastUpdate),</w:t>
            </w:r>
            <w:r>
              <w:br/>
            </w:r>
            <w:r>
              <w:rPr>
                <w:rFonts w:ascii="Consolas" w:hAnsi="Consolas"/>
                <w:color w:val="FFFFFF"/>
                <w:sz w:val="16"/>
              </w:rPr>
              <w:t xml:space="preserve">    lastChatVersion: String(state.lastChatVersion),</w:t>
            </w:r>
            <w:r>
              <w:br/>
            </w:r>
            <w:r>
              <w:rPr>
                <w:rFonts w:ascii="Consolas" w:hAnsi="Consolas"/>
                <w:color w:val="FFFFFF"/>
                <w:sz w:val="16"/>
              </w:rPr>
              <w:t xml:space="preserve">    lastChatID: String(state.lastChatID),</w:t>
            </w:r>
            <w:r>
              <w:br/>
            </w:r>
            <w:r>
              <w:rPr>
                <w:rFonts w:ascii="Consolas" w:hAnsi="Consolas"/>
                <w:color w:val="FFFFFF"/>
                <w:sz w:val="16"/>
              </w:rPr>
              <w:t xml:space="preserve">    windowWidth: String(window.innerWidth),</w:t>
            </w:r>
            <w:r>
              <w:br/>
            </w:r>
            <w:r>
              <w:rPr>
                <w:rFonts w:ascii="Consolas" w:hAnsi="Consolas"/>
                <w:color w:val="FFFFFF"/>
                <w:sz w:val="16"/>
              </w:rPr>
              <w:t xml:space="preserve">    windowHeight: String(window.innerHeight)</w:t>
            </w:r>
            <w:r>
              <w:br/>
            </w:r>
            <w:r>
              <w:rPr>
                <w:rFonts w:ascii="Consolas" w:hAnsi="Consolas"/>
                <w:color w:val="FFFFFF"/>
                <w:sz w:val="16"/>
              </w:rPr>
              <w:t xml:space="preserve">  });</w:t>
            </w:r>
            <w:r>
              <w:br/>
            </w:r>
            <w:r>
              <w:rPr>
                <w:rFonts w:ascii="Consolas" w:hAnsi="Consolas"/>
                <w:color w:val="FFFFFF"/>
                <w:sz w:val="16"/>
              </w:rPr>
            </w:r>
            <w:r>
              <w:br/>
            </w:r>
            <w:r>
              <w:rPr>
                <w:rFonts w:ascii="Consolas" w:hAnsi="Consolas"/>
                <w:color w:val="FFFFFF"/>
                <w:sz w:val="16"/>
              </w:rPr>
              <w:t xml:space="preserve">  const response = await fetch(u, { credentials: 'include' });</w:t>
            </w:r>
            <w:r>
              <w:br/>
            </w:r>
            <w:r>
              <w:rPr>
                <w:rFonts w:ascii="Consolas" w:hAnsi="Consolas"/>
                <w:color w:val="FFFFFF"/>
                <w:sz w:val="16"/>
              </w:rPr>
              <w:t xml:space="preserve">  if (!response.ok) throw new Error(`poll failed: ${response.status}`);</w:t>
            </w:r>
            <w:r>
              <w:br/>
            </w:r>
            <w:r>
              <w:rPr>
                <w:rFonts w:ascii="Consolas" w:hAnsi="Consolas"/>
                <w:color w:val="FFFFFF"/>
                <w:sz w:val="16"/>
              </w:rPr>
              <w:t xml:space="preserve">  return (await response.text()).trim();</w:t>
            </w:r>
            <w:r>
              <w:br/>
            </w:r>
            <w:r>
              <w:rPr>
                <w:rFonts w:ascii="Consolas" w:hAnsi="Consolas"/>
                <w:color w:val="FFFFFF"/>
                <w:sz w:val="16"/>
              </w:rPr>
              <w:t>}</w:t>
            </w:r>
          </w:p>
        </w:tc>
      </w:tr>
    </w:tbl>
    <w:p>
      <w:pPr>
        <w:spacing w:after="20"/>
      </w:pPr>
    </w:p>
    <w:tbl>
      <w:tblPr>
        <w:tblStyle w:val="TableGrid"/>
        <w:tblW w:type="dxa" w:w="9360"/>
        <w:tblLayout w:type="fixed"/>
        <w:tblLook w:firstColumn="1" w:firstRow="1" w:lastColumn="0" w:lastRow="0" w:noHBand="0" w:noVBand="1" w:val="04A0"/>
        <w:tblInd w:type="dxa" w:w="120"/>
      </w:tblPr>
      <w:tblGrid>
        <w:gridCol w:w="1820"/>
        <w:gridCol w:w="2950"/>
        <w:gridCol w:w="4590"/>
      </w:tblGrid>
      <w:tr>
        <w:tc>
          <w:tcPr>
            <w:tcW w:type="dxa" w:w="1820"/>
            <w:vAlign w:val="center"/>
            <w:tcMar>
              <w:top w:w="80" w:type="dxa"/>
              <w:start w:w="120" w:type="dxa"/>
              <w:bottom w:w="80" w:type="dxa"/>
              <w:end w:w="120" w:type="dxa"/>
            </w:tcMar>
            <w:shd w:fill="E8EEF5"/>
          </w:tcPr>
          <w:p>
            <w:pPr>
              <w:spacing w:after="0"/>
            </w:pPr>
            <w:r>
              <w:rPr>
                <w:rFonts w:ascii="Calibri" w:hAnsi="Calibri"/>
                <w:b/>
                <w:color w:val="1F4D78"/>
                <w:sz w:val="19"/>
              </w:rPr>
              <w:t>Response</w:t>
            </w:r>
          </w:p>
        </w:tc>
        <w:tc>
          <w:tcPr>
            <w:tcW w:type="dxa" w:w="2950"/>
            <w:vAlign w:val="center"/>
            <w:tcMar>
              <w:top w:w="80" w:type="dxa"/>
              <w:start w:w="120" w:type="dxa"/>
              <w:bottom w:w="80" w:type="dxa"/>
              <w:end w:w="120" w:type="dxa"/>
            </w:tcMar>
            <w:shd w:fill="E8EEF5"/>
          </w:tcPr>
          <w:p>
            <w:pPr>
              <w:spacing w:after="0"/>
            </w:pPr>
            <w:r>
              <w:rPr>
                <w:rFonts w:ascii="Calibri" w:hAnsi="Calibri"/>
                <w:b/>
                <w:color w:val="1F4D78"/>
                <w:sz w:val="19"/>
              </w:rPr>
              <w:t>Meaning</w:t>
            </w:r>
          </w:p>
        </w:tc>
        <w:tc>
          <w:tcPr>
            <w:tcW w:type="dxa" w:w="4590"/>
            <w:vAlign w:val="center"/>
            <w:tcMar>
              <w:top w:w="80" w:type="dxa"/>
              <w:start w:w="120" w:type="dxa"/>
              <w:bottom w:w="80" w:type="dxa"/>
              <w:end w:w="120" w:type="dxa"/>
            </w:tcMar>
            <w:shd w:fill="E8EEF5"/>
          </w:tcPr>
          <w:p>
            <w:pPr>
              <w:spacing w:after="0"/>
            </w:pPr>
            <w:r>
              <w:rPr>
                <w:rFonts w:ascii="Calibri" w:hAnsi="Calibri"/>
                <w:b/>
                <w:color w:val="1F4D78"/>
                <w:sz w:val="19"/>
              </w:rPr>
              <w:t>Client action</w:t>
            </w:r>
          </w:p>
        </w:tc>
      </w:tr>
      <w:tr>
        <w:tc>
          <w:tcPr>
            <w:tcW w:type="dxa" w:w="1820"/>
          </w:tcPr>
          <w:p>
            <w:pPr>
              <w:spacing w:after="0"/>
            </w:pPr>
            <w:r>
              <w:rPr>
                <w:rFonts w:ascii="Calibri" w:hAnsi="Calibri"/>
                <w:color w:val="172033"/>
                <w:sz w:val="18"/>
              </w:rPr>
              <w:t>KEEPALIVE or empty</w:t>
            </w:r>
          </w:p>
        </w:tc>
        <w:tc>
          <w:tcPr>
            <w:tcW w:type="dxa" w:w="2950"/>
          </w:tcPr>
          <w:p>
            <w:pPr>
              <w:spacing w:after="0"/>
            </w:pPr>
            <w:r>
              <w:rPr>
                <w:rFonts w:ascii="Calibri" w:hAnsi="Calibri"/>
                <w:color w:val="172033"/>
                <w:sz w:val="18"/>
              </w:rPr>
              <w:t>No board or chat update arrived during the hold period.</w:t>
            </w:r>
          </w:p>
        </w:tc>
        <w:tc>
          <w:tcPr>
            <w:tcW w:type="dxa" w:w="4590"/>
          </w:tcPr>
          <w:p>
            <w:pPr>
              <w:spacing w:after="0"/>
            </w:pPr>
            <w:r>
              <w:rPr>
                <w:rFonts w:ascii="Calibri" w:hAnsi="Calibri"/>
                <w:color w:val="172033"/>
                <w:sz w:val="18"/>
              </w:rPr>
              <w:t>Issue the next long-poll immediately; do not redraw.</w:t>
            </w:r>
          </w:p>
        </w:tc>
      </w:tr>
      <w:tr>
        <w:tc>
          <w:tcPr>
            <w:tcW w:type="dxa" w:w="1820"/>
          </w:tcPr>
          <w:p>
            <w:pPr>
              <w:spacing w:after="0"/>
            </w:pPr>
            <w:r>
              <w:rPr>
                <w:rFonts w:ascii="Calibri" w:hAnsi="Calibri"/>
                <w:color w:val="172033"/>
                <w:sz w:val="18"/>
              </w:rPr>
              <w:t>CHATONLY&lt;~&gt;…</w:t>
            </w:r>
          </w:p>
        </w:tc>
        <w:tc>
          <w:tcPr>
            <w:tcW w:type="dxa" w:w="2950"/>
          </w:tcPr>
          <w:p>
            <w:pPr>
              <w:spacing w:after="0"/>
            </w:pPr>
            <w:r>
              <w:rPr>
                <w:rFonts w:ascii="Calibri" w:hAnsi="Calibri"/>
                <w:color w:val="172033"/>
                <w:sz w:val="18"/>
              </w:rPr>
              <w:t>Only chat changed.</w:t>
            </w:r>
          </w:p>
        </w:tc>
        <w:tc>
          <w:tcPr>
            <w:tcW w:type="dxa" w:w="4590"/>
          </w:tcPr>
          <w:p>
            <w:pPr>
              <w:spacing w:after="0"/>
            </w:pPr>
            <w:r>
              <w:rPr>
                <w:rFonts w:ascii="Calibri" w:hAnsi="Calibri"/>
                <w:color w:val="172033"/>
                <w:sz w:val="18"/>
              </w:rPr>
              <w:t>Parse the trailing chat JSON; keep the current board.</w:t>
            </w:r>
          </w:p>
        </w:tc>
      </w:tr>
      <w:tr>
        <w:tc>
          <w:tcPr>
            <w:tcW w:type="dxa" w:w="1820"/>
          </w:tcPr>
          <w:p>
            <w:pPr>
              <w:spacing w:after="0"/>
            </w:pPr>
            <w:r>
              <w:rPr>
                <w:rFonts w:ascii="Calibri" w:hAnsi="Calibri"/>
                <w:color w:val="172033"/>
                <w:sz w:val="18"/>
              </w:rPr>
              <w:t>&lt;number&gt;&lt;~&gt;…</w:t>
            </w:r>
          </w:p>
        </w:tc>
        <w:tc>
          <w:tcPr>
            <w:tcW w:type="dxa" w:w="2950"/>
          </w:tcPr>
          <w:p>
            <w:pPr>
              <w:spacing w:after="0"/>
            </w:pPr>
            <w:r>
              <w:rPr>
                <w:rFonts w:ascii="Calibri" w:hAnsi="Calibri"/>
                <w:color w:val="172033"/>
                <w:sz w:val="18"/>
              </w:rPr>
              <w:t>A newer game snapshot.</w:t>
            </w:r>
          </w:p>
        </w:tc>
        <w:tc>
          <w:tcPr>
            <w:tcW w:type="dxa" w:w="4590"/>
          </w:tcPr>
          <w:p>
            <w:pPr>
              <w:spacing w:after="0"/>
            </w:pPr>
            <w:r>
              <w:rPr>
                <w:rFonts w:ascii="Calibri" w:hAnsi="Calibri"/>
                <w:color w:val="172033"/>
                <w:sz w:val="18"/>
              </w:rPr>
              <w:t>Split into fields, reject stale update numbers, update chat, then render the full snapshot.</w:t>
            </w:r>
          </w:p>
        </w:tc>
      </w:tr>
      <w:tr>
        <w:tc>
          <w:tcPr>
            <w:tcW w:type="dxa" w:w="1820"/>
          </w:tcPr>
          <w:p>
            <w:pPr>
              <w:spacing w:after="0"/>
            </w:pPr>
            <w:r>
              <w:rPr>
                <w:rFonts w:ascii="Calibri" w:hAnsi="Calibri"/>
                <w:color w:val="172033"/>
                <w:sz w:val="18"/>
              </w:rPr>
              <w:t>Invalid auth key / Invalid player</w:t>
            </w:r>
          </w:p>
        </w:tc>
        <w:tc>
          <w:tcPr>
            <w:tcW w:type="dxa" w:w="2950"/>
          </w:tcPr>
          <w:p>
            <w:pPr>
              <w:spacing w:after="0"/>
            </w:pPr>
            <w:r>
              <w:rPr>
                <w:rFonts w:ascii="Calibri" w:hAnsi="Calibri"/>
                <w:color w:val="172033"/>
                <w:sz w:val="18"/>
              </w:rPr>
              <w:t>Credentials or viewer identity failed validation.</w:t>
            </w:r>
          </w:p>
        </w:tc>
        <w:tc>
          <w:tcPr>
            <w:tcW w:type="dxa" w:w="4590"/>
          </w:tcPr>
          <w:p>
            <w:pPr>
              <w:spacing w:after="0"/>
            </w:pPr>
            <w:r>
              <w:rPr>
                <w:rFonts w:ascii="Calibri" w:hAnsi="Calibri"/>
                <w:color w:val="172033"/>
                <w:sz w:val="18"/>
              </w:rPr>
              <w:t>Stop polling and prompt for a fresh authorized link.</w:t>
            </w:r>
          </w:p>
        </w:tc>
      </w:tr>
    </w:tbl>
    <w:p>
      <w:pPr>
        <w:spacing w:after="40"/>
      </w:pPr>
    </w:p>
    <w:p>
      <w:pPr>
        <w:pStyle w:val="Heading1"/>
      </w:pPr>
      <w:r>
        <w:t>4. Parsing the AzukiSim snapshot</w:t>
      </w:r>
    </w:p>
    <w:p>
      <w:r>
        <w:rPr>
          <w:rFonts w:ascii="Calibri" w:hAnsi="Calibri"/>
          <w:color w:val="172033"/>
          <w:sz w:val="22"/>
        </w:rPr>
        <w:t>For a normal board update, split the response on &lt;~&gt;. Field 0 is the monotonically increasing update number. Fields 1-14 are a raw player block. Fields 15-27 are global state. Fields 28-41 are the second raw player block. Optional trailing fields may contain bot-controller state, chat JSON, and frame-animation data; treat them as optional extensions rather than fixed board fields.</w:t>
      </w:r>
    </w:p>
    <w:tbl>
      <w:tblPr>
        <w:tblStyle w:val="TableGrid"/>
        <w:tblW w:type="dxa" w:w="9360"/>
        <w:tblLayout w:type="fixed"/>
        <w:tblLook w:firstColumn="1" w:firstRow="1" w:lastColumn="0" w:lastRow="0" w:noHBand="0" w:noVBand="1" w:val="04A0"/>
        <w:tblInd w:type="dxa" w:w="120"/>
      </w:tblPr>
      <w:tblGrid>
        <w:gridCol w:w="1600"/>
        <w:gridCol w:w="2450"/>
        <w:gridCol w:w="5310"/>
      </w:tblGrid>
      <w:tr>
        <w:tc>
          <w:tcPr>
            <w:tcW w:type="dxa" w:w="1600"/>
            <w:vAlign w:val="center"/>
            <w:tcMar>
              <w:top w:w="80" w:type="dxa"/>
              <w:start w:w="120" w:type="dxa"/>
              <w:bottom w:w="80" w:type="dxa"/>
              <w:end w:w="120" w:type="dxa"/>
            </w:tcMar>
            <w:shd w:fill="E8EEF5"/>
          </w:tcPr>
          <w:p>
            <w:pPr>
              <w:spacing w:after="0"/>
            </w:pPr>
            <w:r>
              <w:rPr>
                <w:rFonts w:ascii="Calibri" w:hAnsi="Calibri"/>
                <w:b/>
                <w:color w:val="1F4D78"/>
                <w:sz w:val="19"/>
              </w:rPr>
              <w:t>Block offset</w:t>
            </w:r>
          </w:p>
        </w:tc>
        <w:tc>
          <w:tcPr>
            <w:tcW w:type="dxa" w:w="2450"/>
            <w:vAlign w:val="center"/>
            <w:tcMar>
              <w:top w:w="80" w:type="dxa"/>
              <w:start w:w="120" w:type="dxa"/>
              <w:bottom w:w="80" w:type="dxa"/>
              <w:end w:w="120" w:type="dxa"/>
            </w:tcMar>
            <w:shd w:fill="E8EEF5"/>
          </w:tcPr>
          <w:p>
            <w:pPr>
              <w:spacing w:after="0"/>
            </w:pPr>
            <w:r>
              <w:rPr>
                <w:rFonts w:ascii="Calibri" w:hAnsi="Calibri"/>
                <w:b/>
                <w:color w:val="1F4D78"/>
                <w:sz w:val="19"/>
              </w:rPr>
              <w:t>Field</w:t>
            </w:r>
          </w:p>
        </w:tc>
        <w:tc>
          <w:tcPr>
            <w:tcW w:type="dxa" w:w="5310"/>
            <w:vAlign w:val="center"/>
            <w:tcMar>
              <w:top w:w="80" w:type="dxa"/>
              <w:start w:w="120" w:type="dxa"/>
              <w:bottom w:w="80" w:type="dxa"/>
              <w:end w:w="120" w:type="dxa"/>
            </w:tcMar>
            <w:shd w:fill="E8EEF5"/>
          </w:tcPr>
          <w:p>
            <w:pPr>
              <w:spacing w:after="0"/>
            </w:pPr>
            <w:r>
              <w:rPr>
                <w:rFonts w:ascii="Calibri" w:hAnsi="Calibri"/>
                <w:b/>
                <w:color w:val="1F4D78"/>
                <w:sz w:val="19"/>
              </w:rPr>
              <w:t>How to use it</w:t>
            </w:r>
          </w:p>
        </w:tc>
      </w:tr>
      <w:tr>
        <w:tc>
          <w:tcPr>
            <w:tcW w:type="dxa" w:w="1600"/>
          </w:tcPr>
          <w:p>
            <w:pPr>
              <w:spacing w:after="0"/>
            </w:pPr>
            <w:r>
              <w:rPr>
                <w:rFonts w:ascii="Calibri" w:hAnsi="Calibri"/>
                <w:color w:val="172033"/>
                <w:sz w:val="18"/>
              </w:rPr>
              <w:t>+1</w:t>
            </w:r>
          </w:p>
        </w:tc>
        <w:tc>
          <w:tcPr>
            <w:tcW w:type="dxa" w:w="2450"/>
          </w:tcPr>
          <w:p>
            <w:pPr>
              <w:spacing w:after="0"/>
            </w:pPr>
            <w:r>
              <w:rPr>
                <w:rFonts w:ascii="Calibri" w:hAnsi="Calibri"/>
                <w:color w:val="172033"/>
                <w:sz w:val="18"/>
              </w:rPr>
              <w:t>Deck</w:t>
            </w:r>
          </w:p>
        </w:tc>
        <w:tc>
          <w:tcPr>
            <w:tcW w:type="dxa" w:w="5310"/>
          </w:tcPr>
          <w:p>
            <w:pPr>
              <w:spacing w:after="0"/>
            </w:pPr>
            <w:r>
              <w:rPr>
                <w:rFonts w:ascii="Calibri" w:hAnsi="Calibri"/>
                <w:color w:val="172033"/>
                <w:sz w:val="18"/>
              </w:rPr>
              <w:t>Top card is CardBack with a count; do not reveal a deck order.</w:t>
            </w:r>
          </w:p>
        </w:tc>
      </w:tr>
      <w:tr>
        <w:tc>
          <w:tcPr>
            <w:tcW w:type="dxa" w:w="1600"/>
          </w:tcPr>
          <w:p>
            <w:pPr>
              <w:spacing w:after="0"/>
            </w:pPr>
            <w:r>
              <w:rPr>
                <w:rFonts w:ascii="Calibri" w:hAnsi="Calibri"/>
                <w:color w:val="172033"/>
                <w:sz w:val="18"/>
              </w:rPr>
              <w:t>+2 to +4</w:t>
            </w:r>
          </w:p>
        </w:tc>
        <w:tc>
          <w:tcPr>
            <w:tcW w:type="dxa" w:w="2450"/>
          </w:tcPr>
          <w:p>
            <w:pPr>
              <w:spacing w:after="0"/>
            </w:pPr>
            <w:r>
              <w:rPr>
                <w:rFonts w:ascii="Calibri" w:hAnsi="Calibri"/>
                <w:color w:val="172033"/>
                <w:sz w:val="18"/>
              </w:rPr>
              <w:t>Discard, Hand, Temp zone</w:t>
            </w:r>
          </w:p>
        </w:tc>
        <w:tc>
          <w:tcPr>
            <w:tcW w:type="dxa" w:w="5310"/>
          </w:tcPr>
          <w:p>
            <w:pPr>
              <w:spacing w:after="0"/>
            </w:pPr>
            <w:r>
              <w:rPr>
                <w:rFonts w:ascii="Calibri" w:hAnsi="Calibri"/>
                <w:color w:val="172033"/>
                <w:sz w:val="18"/>
              </w:rPr>
              <w:t>Hand and temp-zone data are private to the matching seat; other viewers receive CardBack placeholders.</w:t>
            </w:r>
          </w:p>
        </w:tc>
      </w:tr>
      <w:tr>
        <w:tc>
          <w:tcPr>
            <w:tcW w:type="dxa" w:w="1600"/>
          </w:tcPr>
          <w:p>
            <w:pPr>
              <w:spacing w:after="0"/>
            </w:pPr>
            <w:r>
              <w:rPr>
                <w:rFonts w:ascii="Calibri" w:hAnsi="Calibri"/>
                <w:color w:val="172033"/>
                <w:sz w:val="18"/>
              </w:rPr>
              <w:t>+5</w:t>
            </w:r>
          </w:p>
        </w:tc>
        <w:tc>
          <w:tcPr>
            <w:tcW w:type="dxa" w:w="2450"/>
          </w:tcPr>
          <w:p>
            <w:pPr>
              <w:spacing w:after="0"/>
            </w:pPr>
            <w:r>
              <w:rPr>
                <w:rFonts w:ascii="Calibri" w:hAnsi="Calibri"/>
                <w:color w:val="172033"/>
                <w:sz w:val="18"/>
              </w:rPr>
              <w:t>Global effects</w:t>
            </w:r>
          </w:p>
        </w:tc>
        <w:tc>
          <w:tcPr>
            <w:tcW w:type="dxa" w:w="5310"/>
          </w:tcPr>
          <w:p>
            <w:pPr>
              <w:spacing w:after="0"/>
            </w:pPr>
            <w:r>
              <w:rPr>
                <w:rFonts w:ascii="Calibri" w:hAnsi="Calibri"/>
                <w:color w:val="172033"/>
                <w:sz w:val="18"/>
              </w:rPr>
              <w:t>Reserved extension field; preserve it even if unused by your UI.</w:t>
            </w:r>
          </w:p>
        </w:tc>
      </w:tr>
      <w:tr>
        <w:tc>
          <w:tcPr>
            <w:tcW w:type="dxa" w:w="1600"/>
          </w:tcPr>
          <w:p>
            <w:pPr>
              <w:spacing w:after="0"/>
            </w:pPr>
            <w:r>
              <w:rPr>
                <w:rFonts w:ascii="Calibri" w:hAnsi="Calibri"/>
                <w:color w:val="172033"/>
                <w:sz w:val="18"/>
              </w:rPr>
              <w:t>+6 to +8</w:t>
            </w:r>
          </w:p>
        </w:tc>
        <w:tc>
          <w:tcPr>
            <w:tcW w:type="dxa" w:w="2450"/>
          </w:tcPr>
          <w:p>
            <w:pPr>
              <w:spacing w:after="0"/>
            </w:pPr>
            <w:r>
              <w:rPr>
                <w:rFonts w:ascii="Calibri" w:hAnsi="Calibri"/>
                <w:color w:val="172033"/>
                <w:sz w:val="18"/>
              </w:rPr>
              <w:t>Garden, Alley, Gate</w:t>
            </w:r>
          </w:p>
        </w:tc>
        <w:tc>
          <w:tcPr>
            <w:tcW w:type="dxa" w:w="5310"/>
          </w:tcPr>
          <w:p>
            <w:pPr>
              <w:spacing w:after="0"/>
            </w:pPr>
            <w:r>
              <w:rPr>
                <w:rFonts w:ascii="Calibri" w:hAnsi="Calibri"/>
                <w:color w:val="172033"/>
                <w:sz w:val="18"/>
              </w:rPr>
              <w:t>Field zones. Each card carries its serialized object metadata.</w:t>
            </w:r>
          </w:p>
        </w:tc>
      </w:tr>
      <w:tr>
        <w:tc>
          <w:tcPr>
            <w:tcW w:type="dxa" w:w="1600"/>
          </w:tcPr>
          <w:p>
            <w:pPr>
              <w:spacing w:after="0"/>
            </w:pPr>
            <w:r>
              <w:rPr>
                <w:rFonts w:ascii="Calibri" w:hAnsi="Calibri"/>
                <w:color w:val="172033"/>
                <w:sz w:val="18"/>
              </w:rPr>
              <w:t>+9 to +12</w:t>
            </w:r>
          </w:p>
        </w:tc>
        <w:tc>
          <w:tcPr>
            <w:tcW w:type="dxa" w:w="2450"/>
          </w:tcPr>
          <w:p>
            <w:pPr>
              <w:spacing w:after="0"/>
            </w:pPr>
            <w:r>
              <w:rPr>
                <w:rFonts w:ascii="Calibri" w:hAnsi="Calibri"/>
                <w:color w:val="172033"/>
                <w:sz w:val="18"/>
              </w:rPr>
              <w:t>Leader health, IKZ Area, IKZ pile, IKZ token</w:t>
            </w:r>
          </w:p>
        </w:tc>
        <w:tc>
          <w:tcPr>
            <w:tcW w:type="dxa" w:w="5310"/>
          </w:tcPr>
          <w:p>
            <w:pPr>
              <w:spacing w:after="0"/>
            </w:pPr>
            <w:r>
              <w:rPr>
                <w:rFonts w:ascii="Calibri" w:hAnsi="Calibri"/>
                <w:color w:val="172033"/>
                <w:sz w:val="18"/>
              </w:rPr>
              <w:t>Azuki-specific resource and state zones.</w:t>
            </w:r>
          </w:p>
        </w:tc>
      </w:tr>
      <w:tr>
        <w:tc>
          <w:tcPr>
            <w:tcW w:type="dxa" w:w="1600"/>
          </w:tcPr>
          <w:p>
            <w:pPr>
              <w:spacing w:after="0"/>
            </w:pPr>
            <w:r>
              <w:rPr>
                <w:rFonts w:ascii="Calibri" w:hAnsi="Calibri"/>
                <w:color w:val="172033"/>
                <w:sz w:val="18"/>
              </w:rPr>
              <w:t>+13 to +14</w:t>
            </w:r>
          </w:p>
        </w:tc>
        <w:tc>
          <w:tcPr>
            <w:tcW w:type="dxa" w:w="2450"/>
          </w:tcPr>
          <w:p>
            <w:pPr>
              <w:spacing w:after="0"/>
            </w:pPr>
            <w:r>
              <w:rPr>
                <w:rFonts w:ascii="Calibri" w:hAnsi="Calibri"/>
                <w:color w:val="172033"/>
                <w:sz w:val="18"/>
              </w:rPr>
              <w:t>Decision queue, Versions</w:t>
            </w:r>
          </w:p>
        </w:tc>
        <w:tc>
          <w:tcPr>
            <w:tcW w:type="dxa" w:w="5310"/>
          </w:tcPr>
          <w:p>
            <w:pPr>
              <w:spacing w:after="0"/>
            </w:pPr>
            <w:r>
              <w:rPr>
                <w:rFonts w:ascii="Calibri" w:hAnsi="Calibri"/>
                <w:color w:val="172033"/>
                <w:sz w:val="18"/>
              </w:rPr>
              <w:t>Pending decisions drive prompts; versions are engine/replay history.</w:t>
            </w:r>
          </w:p>
        </w:tc>
      </w:tr>
    </w:tbl>
    <w:p>
      <w:pPr>
        <w:spacing w:after="40"/>
      </w:pPr>
    </w:p>
    <w:tbl>
      <w:tblPr>
        <w:tblStyle w:val="TableGrid"/>
        <w:tblW w:type="dxa" w:w="9360"/>
        <w:tblLayout w:type="fixed"/>
        <w:tblLook w:firstColumn="1" w:firstRow="1" w:lastColumn="0" w:lastRow="0" w:noHBand="0" w:noVBand="1" w:val="04A0"/>
        <w:tblInd w:type="dxa" w:w="120"/>
      </w:tblPr>
      <w:tblGrid>
        <w:gridCol w:w="1800"/>
        <w:gridCol w:w="7560"/>
      </w:tblGrid>
      <w:tr>
        <w:tc>
          <w:tcPr>
            <w:tcW w:type="dxa" w:w="1800"/>
            <w:vAlign w:val="center"/>
            <w:tcMar>
              <w:top w:w="80" w:type="dxa"/>
              <w:start w:w="120" w:type="dxa"/>
              <w:bottom w:w="80" w:type="dxa"/>
              <w:end w:w="120" w:type="dxa"/>
            </w:tcMar>
            <w:shd w:fill="E8EEF5"/>
          </w:tcPr>
          <w:p>
            <w:pPr>
              <w:spacing w:after="0"/>
            </w:pPr>
            <w:r>
              <w:rPr>
                <w:rFonts w:ascii="Calibri" w:hAnsi="Calibri"/>
                <w:b/>
                <w:color w:val="1F4D78"/>
                <w:sz w:val="19"/>
              </w:rPr>
              <w:t>Global index</w:t>
            </w:r>
          </w:p>
        </w:tc>
        <w:tc>
          <w:tcPr>
            <w:tcW w:type="dxa" w:w="7560"/>
            <w:vAlign w:val="center"/>
            <w:tcMar>
              <w:top w:w="80" w:type="dxa"/>
              <w:start w:w="120" w:type="dxa"/>
              <w:bottom w:w="80" w:type="dxa"/>
              <w:end w:w="120" w:type="dxa"/>
            </w:tcMar>
            <w:shd w:fill="E8EEF5"/>
          </w:tcPr>
          <w:p>
            <w:pPr>
              <w:spacing w:after="0"/>
            </w:pPr>
            <w:r>
              <w:rPr>
                <w:rFonts w:ascii="Calibri" w:hAnsi="Calibri"/>
                <w:b/>
                <w:color w:val="1F4D78"/>
                <w:sz w:val="19"/>
              </w:rPr>
              <w:t>Value</w:t>
            </w:r>
          </w:p>
        </w:tc>
      </w:tr>
      <w:tr>
        <w:tc>
          <w:tcPr>
            <w:tcW w:type="dxa" w:w="1800"/>
          </w:tcPr>
          <w:p>
            <w:pPr>
              <w:spacing w:after="0"/>
            </w:pPr>
            <w:r>
              <w:rPr>
                <w:rFonts w:ascii="Calibri" w:hAnsi="Calibri"/>
                <w:color w:val="172033"/>
                <w:sz w:val="18"/>
              </w:rPr>
              <w:t>15</w:t>
            </w:r>
          </w:p>
        </w:tc>
        <w:tc>
          <w:tcPr>
            <w:tcW w:type="dxa" w:w="7560"/>
          </w:tcPr>
          <w:p>
            <w:pPr>
              <w:spacing w:after="0"/>
            </w:pPr>
            <w:r>
              <w:rPr>
                <w:rFonts w:ascii="Calibri" w:hAnsi="Calibri"/>
                <w:color w:val="172033"/>
                <w:sz w:val="18"/>
              </w:rPr>
              <w:t>Turn number</w:t>
            </w:r>
          </w:p>
        </w:tc>
      </w:tr>
      <w:tr>
        <w:tc>
          <w:tcPr>
            <w:tcW w:type="dxa" w:w="1800"/>
          </w:tcPr>
          <w:p>
            <w:pPr>
              <w:spacing w:after="0"/>
            </w:pPr>
            <w:r>
              <w:rPr>
                <w:rFonts w:ascii="Calibri" w:hAnsi="Calibri"/>
                <w:color w:val="172033"/>
                <w:sz w:val="18"/>
              </w:rPr>
              <w:t>16</w:t>
            </w:r>
          </w:p>
        </w:tc>
        <w:tc>
          <w:tcPr>
            <w:tcW w:type="dxa" w:w="7560"/>
          </w:tcPr>
          <w:p>
            <w:pPr>
              <w:spacing w:after="0"/>
            </w:pPr>
            <w:r>
              <w:rPr>
                <w:rFonts w:ascii="Calibri" w:hAnsi="Calibri"/>
                <w:color w:val="172033"/>
                <w:sz w:val="18"/>
              </w:rPr>
              <w:t>First player</w:t>
            </w:r>
          </w:p>
        </w:tc>
      </w:tr>
      <w:tr>
        <w:tc>
          <w:tcPr>
            <w:tcW w:type="dxa" w:w="1800"/>
          </w:tcPr>
          <w:p>
            <w:pPr>
              <w:spacing w:after="0"/>
            </w:pPr>
            <w:r>
              <w:rPr>
                <w:rFonts w:ascii="Calibri" w:hAnsi="Calibri"/>
                <w:color w:val="172033"/>
                <w:sz w:val="18"/>
              </w:rPr>
              <w:t>17</w:t>
            </w:r>
          </w:p>
        </w:tc>
        <w:tc>
          <w:tcPr>
            <w:tcW w:type="dxa" w:w="7560"/>
          </w:tcPr>
          <w:p>
            <w:pPr>
              <w:spacing w:after="0"/>
            </w:pPr>
            <w:r>
              <w:rPr>
                <w:rFonts w:ascii="Calibri" w:hAnsi="Calibri"/>
                <w:color w:val="172033"/>
                <w:sz w:val="18"/>
              </w:rPr>
              <w:t>Turn player</w:t>
            </w:r>
          </w:p>
        </w:tc>
      </w:tr>
      <w:tr>
        <w:tc>
          <w:tcPr>
            <w:tcW w:type="dxa" w:w="1800"/>
          </w:tcPr>
          <w:p>
            <w:pPr>
              <w:spacing w:after="0"/>
            </w:pPr>
            <w:r>
              <w:rPr>
                <w:rFonts w:ascii="Calibri" w:hAnsi="Calibri"/>
                <w:color w:val="172033"/>
                <w:sz w:val="18"/>
              </w:rPr>
              <w:t>18</w:t>
            </w:r>
          </w:p>
        </w:tc>
        <w:tc>
          <w:tcPr>
            <w:tcW w:type="dxa" w:w="7560"/>
          </w:tcPr>
          <w:p>
            <w:pPr>
              <w:spacing w:after="0"/>
            </w:pPr>
            <w:r>
              <w:rPr>
                <w:rFonts w:ascii="Calibri" w:hAnsi="Calibri"/>
                <w:color w:val="172033"/>
                <w:sz w:val="18"/>
              </w:rPr>
              <w:t>Current phase</w:t>
            </w:r>
          </w:p>
        </w:tc>
      </w:tr>
      <w:tr>
        <w:tc>
          <w:tcPr>
            <w:tcW w:type="dxa" w:w="1800"/>
          </w:tcPr>
          <w:p>
            <w:pPr>
              <w:spacing w:after="0"/>
            </w:pPr>
            <w:r>
              <w:rPr>
                <w:rFonts w:ascii="Calibri" w:hAnsi="Calibri"/>
                <w:color w:val="172033"/>
                <w:sz w:val="18"/>
              </w:rPr>
              <w:t>19</w:t>
            </w:r>
          </w:p>
        </w:tc>
        <w:tc>
          <w:tcPr>
            <w:tcW w:type="dxa" w:w="7560"/>
          </w:tcPr>
          <w:p>
            <w:pPr>
              <w:spacing w:after="0"/>
            </w:pPr>
            <w:r>
              <w:rPr>
                <w:rFonts w:ascii="Calibri" w:hAnsi="Calibri"/>
                <w:color w:val="172033"/>
                <w:sz w:val="18"/>
              </w:rPr>
              <w:t>Phase parameters</w:t>
            </w:r>
          </w:p>
        </w:tc>
      </w:tr>
      <w:tr>
        <w:tc>
          <w:tcPr>
            <w:tcW w:type="dxa" w:w="1800"/>
          </w:tcPr>
          <w:p>
            <w:pPr>
              <w:spacing w:after="0"/>
            </w:pPr>
            <w:r>
              <w:rPr>
                <w:rFonts w:ascii="Calibri" w:hAnsi="Calibri"/>
                <w:color w:val="172033"/>
                <w:sz w:val="18"/>
              </w:rPr>
              <w:t>20</w:t>
            </w:r>
          </w:p>
        </w:tc>
        <w:tc>
          <w:tcPr>
            <w:tcW w:type="dxa" w:w="7560"/>
          </w:tcPr>
          <w:p>
            <w:pPr>
              <w:spacing w:after="0"/>
            </w:pPr>
            <w:r>
              <w:rPr>
                <w:rFonts w:ascii="Calibri" w:hAnsi="Calibri"/>
                <w:color w:val="172033"/>
                <w:sz w:val="18"/>
              </w:rPr>
              <w:t>Flash message</w:t>
            </w:r>
          </w:p>
        </w:tc>
      </w:tr>
      <w:tr>
        <w:tc>
          <w:tcPr>
            <w:tcW w:type="dxa" w:w="1800"/>
          </w:tcPr>
          <w:p>
            <w:pPr>
              <w:spacing w:after="0"/>
            </w:pPr>
            <w:r>
              <w:rPr>
                <w:rFonts w:ascii="Calibri" w:hAnsi="Calibri"/>
                <w:color w:val="172033"/>
                <w:sz w:val="18"/>
              </w:rPr>
              <w:t>21</w:t>
            </w:r>
          </w:p>
        </w:tc>
        <w:tc>
          <w:tcPr>
            <w:tcW w:type="dxa" w:w="7560"/>
          </w:tcPr>
          <w:p>
            <w:pPr>
              <w:spacing w:after="0"/>
            </w:pPr>
            <w:r>
              <w:rPr>
                <w:rFonts w:ascii="Calibri" w:hAnsi="Calibri"/>
                <w:color w:val="172033"/>
                <w:sz w:val="18"/>
              </w:rPr>
              <w:t>Decision queue variables JSON</w:t>
            </w:r>
          </w:p>
        </w:tc>
      </w:tr>
      <w:tr>
        <w:tc>
          <w:tcPr>
            <w:tcW w:type="dxa" w:w="1800"/>
          </w:tcPr>
          <w:p>
            <w:pPr>
              <w:spacing w:after="0"/>
            </w:pPr>
            <w:r>
              <w:rPr>
                <w:rFonts w:ascii="Calibri" w:hAnsi="Calibri"/>
                <w:color w:val="172033"/>
                <w:sz w:val="18"/>
              </w:rPr>
              <w:t>22</w:t>
            </w:r>
          </w:p>
        </w:tc>
        <w:tc>
          <w:tcPr>
            <w:tcW w:type="dxa" w:w="7560"/>
          </w:tcPr>
          <w:p>
            <w:pPr>
              <w:spacing w:after="0"/>
            </w:pPr>
            <w:r>
              <w:rPr>
                <w:rFonts w:ascii="Calibri" w:hAnsi="Calibri"/>
                <w:color w:val="172033"/>
                <w:sz w:val="18"/>
              </w:rPr>
              <w:t>Effect stack</w:t>
            </w:r>
          </w:p>
        </w:tc>
      </w:tr>
      <w:tr>
        <w:tc>
          <w:tcPr>
            <w:tcW w:type="dxa" w:w="1800"/>
          </w:tcPr>
          <w:p>
            <w:pPr>
              <w:spacing w:after="0"/>
            </w:pPr>
            <w:r>
              <w:rPr>
                <w:rFonts w:ascii="Calibri" w:hAnsi="Calibri"/>
                <w:color w:val="172033"/>
                <w:sz w:val="18"/>
              </w:rPr>
              <w:t>23</w:t>
            </w:r>
          </w:p>
        </w:tc>
        <w:tc>
          <w:tcPr>
            <w:tcW w:type="dxa" w:w="7560"/>
          </w:tcPr>
          <w:p>
            <w:pPr>
              <w:spacing w:after="0"/>
            </w:pPr>
            <w:r>
              <w:rPr>
                <w:rFonts w:ascii="Calibri" w:hAnsi="Calibri"/>
                <w:color w:val="172033"/>
                <w:sz w:val="18"/>
              </w:rPr>
              <w:t>Macro turn index</w:t>
            </w:r>
          </w:p>
        </w:tc>
      </w:tr>
      <w:tr>
        <w:tc>
          <w:tcPr>
            <w:tcW w:type="dxa" w:w="1800"/>
          </w:tcPr>
          <w:p>
            <w:pPr>
              <w:spacing w:after="0"/>
            </w:pPr>
            <w:r>
              <w:rPr>
                <w:rFonts w:ascii="Calibri" w:hAnsi="Calibri"/>
                <w:color w:val="172033"/>
                <w:sz w:val="18"/>
              </w:rPr>
              <w:t>24</w:t>
            </w:r>
          </w:p>
        </w:tc>
        <w:tc>
          <w:tcPr>
            <w:tcW w:type="dxa" w:w="7560"/>
          </w:tcPr>
          <w:p>
            <w:pPr>
              <w:spacing w:after="0"/>
            </w:pPr>
            <w:r>
              <w:rPr>
                <w:rFonts w:ascii="Calibri" w:hAnsi="Calibri"/>
                <w:color w:val="172033"/>
                <w:sz w:val="18"/>
              </w:rPr>
              <w:t>Unique-ID counter</w:t>
            </w:r>
          </w:p>
        </w:tc>
      </w:tr>
      <w:tr>
        <w:tc>
          <w:tcPr>
            <w:tcW w:type="dxa" w:w="1800"/>
          </w:tcPr>
          <w:p>
            <w:pPr>
              <w:spacing w:after="0"/>
            </w:pPr>
            <w:r>
              <w:rPr>
                <w:rFonts w:ascii="Calibri" w:hAnsi="Calibri"/>
                <w:color w:val="172033"/>
                <w:sz w:val="18"/>
              </w:rPr>
              <w:t>25</w:t>
            </w:r>
          </w:p>
        </w:tc>
        <w:tc>
          <w:tcPr>
            <w:tcW w:type="dxa" w:w="7560"/>
          </w:tcPr>
          <w:p>
            <w:pPr>
              <w:spacing w:after="0"/>
            </w:pPr>
            <w:r>
              <w:rPr>
                <w:rFonts w:ascii="Calibri" w:hAnsi="Calibri"/>
                <w:color w:val="172033"/>
                <w:sz w:val="18"/>
              </w:rPr>
              <w:t>Macro game index</w:t>
            </w:r>
          </w:p>
        </w:tc>
      </w:tr>
      <w:tr>
        <w:tc>
          <w:tcPr>
            <w:tcW w:type="dxa" w:w="1800"/>
          </w:tcPr>
          <w:p>
            <w:pPr>
              <w:spacing w:after="0"/>
            </w:pPr>
            <w:r>
              <w:rPr>
                <w:rFonts w:ascii="Calibri" w:hAnsi="Calibri"/>
                <w:color w:val="172033"/>
                <w:sz w:val="18"/>
              </w:rPr>
              <w:t>26</w:t>
            </w:r>
          </w:p>
        </w:tc>
        <w:tc>
          <w:tcPr>
            <w:tcW w:type="dxa" w:w="7560"/>
          </w:tcPr>
          <w:p>
            <w:pPr>
              <w:spacing w:after="0"/>
            </w:pPr>
            <w:r>
              <w:rPr>
                <w:rFonts w:ascii="Calibri" w:hAnsi="Calibri"/>
                <w:color w:val="172033"/>
                <w:sz w:val="18"/>
              </w:rPr>
              <w:t>Replay initial state — always '-' (server-only; save replays via APIs/MatchReplay.php)</w:t>
            </w:r>
          </w:p>
        </w:tc>
      </w:tr>
      <w:tr>
        <w:tc>
          <w:tcPr>
            <w:tcW w:type="dxa" w:w="1800"/>
          </w:tcPr>
          <w:p>
            <w:pPr>
              <w:spacing w:after="0"/>
            </w:pPr>
            <w:r>
              <w:rPr>
                <w:rFonts w:ascii="Calibri" w:hAnsi="Calibri"/>
                <w:color w:val="172033"/>
                <w:sz w:val="18"/>
              </w:rPr>
              <w:t>27</w:t>
            </w:r>
          </w:p>
        </w:tc>
        <w:tc>
          <w:tcPr>
            <w:tcW w:type="dxa" w:w="7560"/>
          </w:tcPr>
          <w:p>
            <w:pPr>
              <w:spacing w:after="0"/>
            </w:pPr>
            <w:r>
              <w:rPr>
                <w:rFonts w:ascii="Calibri" w:hAnsi="Calibri"/>
                <w:color w:val="172033"/>
                <w:sz w:val="18"/>
              </w:rPr>
              <w:t>Replay commands — always '-' (server-only)</w:t>
            </w:r>
          </w:p>
        </w:tc>
      </w:tr>
    </w:tbl>
    <w:p>
      <w:pPr>
        <w:spacing w:after="40"/>
      </w:pPr>
    </w:p>
    <w:p>
      <w:r>
        <w:rPr>
          <w:rFonts w:ascii="Calibri" w:hAnsi="Calibri"/>
          <w:b/>
          <w:color w:val="172033"/>
          <w:sz w:val="22"/>
        </w:rPr>
        <w:t>Perspective mapping:</w:t>
      </w:r>
      <w:r>
        <w:rPr>
          <w:rFonts w:ascii="Calibri" w:hAnsi="Calibri"/>
          <w:color w:val="172033"/>
          <w:sz w:val="22"/>
        </w:rPr>
        <w:t xml:space="preserve"> the wire response always emits the Player 1 block first and Player 2 block second. A player-facing UI should map the viewer's own raw block to my* and the other block to their*. A spectator can choose which player-facing orientation to render with viewerPerspective, but remains read-only.</w:t>
      </w:r>
    </w:p>
    <w:p>
      <w:pPr>
        <w:pStyle w:val="Heading1"/>
      </w:pPr>
      <w:r>
        <w:t>5. Card tuple and object metadata</w:t>
      </w:r>
    </w:p>
    <w:p>
      <w:r>
        <w:rPr>
          <w:rFonts w:ascii="Calibri" w:hAnsi="Calibri"/>
          <w:color w:val="172033"/>
          <w:sz w:val="22"/>
        </w:rPr>
        <w:t>A multi-card field is separated by &lt;|&gt;. Each card entry is a three-part legacy tuple: cardID, counter value, and serialized object JSON, separated by spaces. ClientRenderedCard replaces literal spaces in the JSON portion with underscores so that the tuple remains space-splittable. Parse the third token as JSON; preserve its string values exactly as supplied and do not use the counter slot as a general card-state model.</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1F2937"/>
          </w:tcPr>
          <w:p>
            <w:pPr>
              <w:spacing w:after="0" w:line="240" w:lineRule="auto"/>
            </w:pPr>
            <w:r>
              <w:rPr>
                <w:rFonts w:ascii="Consolas" w:hAnsi="Consolas"/>
                <w:color w:val="FFFFFF"/>
                <w:sz w:val="16"/>
              </w:rPr>
              <w:t>function parseCardTuple(entry) {</w:t>
            </w:r>
            <w:r>
              <w:br/>
            </w:r>
            <w:r>
              <w:rPr>
                <w:rFonts w:ascii="Consolas" w:hAnsi="Consolas"/>
                <w:color w:val="FFFFFF"/>
                <w:sz w:val="16"/>
              </w:rPr>
              <w:t xml:space="preserve">  const [cardID, counterText = '0', objectJson = '-'] = entry.split(' ', 3);</w:t>
            </w:r>
            <w:r>
              <w:br/>
            </w:r>
            <w:r>
              <w:rPr>
                <w:rFonts w:ascii="Consolas" w:hAnsi="Consolas"/>
                <w:color w:val="FFFFFF"/>
                <w:sz w:val="16"/>
              </w:rPr>
              <w:t xml:space="preserve">  return {</w:t>
            </w:r>
            <w:r>
              <w:br/>
            </w:r>
            <w:r>
              <w:rPr>
                <w:rFonts w:ascii="Consolas" w:hAnsi="Consolas"/>
                <w:color w:val="FFFFFF"/>
                <w:sz w:val="16"/>
              </w:rPr>
              <w:t xml:space="preserve">    cardID,</w:t>
            </w:r>
            <w:r>
              <w:br/>
            </w:r>
            <w:r>
              <w:rPr>
                <w:rFonts w:ascii="Consolas" w:hAnsi="Consolas"/>
                <w:color w:val="FFFFFF"/>
                <w:sz w:val="16"/>
              </w:rPr>
              <w:t xml:space="preserve">    counter: Number(counterText) || 0,</w:t>
            </w:r>
            <w:r>
              <w:br/>
            </w:r>
            <w:r>
              <w:rPr>
                <w:rFonts w:ascii="Consolas" w:hAnsi="Consolas"/>
                <w:color w:val="FFFFFF"/>
                <w:sz w:val="16"/>
              </w:rPr>
              <w:t xml:space="preserve">    data: objectJson === '-' ? null : JSON.parse(objectJson)</w:t>
            </w:r>
            <w:r>
              <w:br/>
            </w:r>
            <w:r>
              <w:rPr>
                <w:rFonts w:ascii="Consolas" w:hAnsi="Consolas"/>
                <w:color w:val="FFFFFF"/>
                <w:sz w:val="16"/>
              </w:rPr>
              <w:t xml:space="preserve">  };</w:t>
            </w:r>
            <w:r>
              <w:br/>
            </w:r>
            <w:r>
              <w:rPr>
                <w:rFonts w:ascii="Consolas" w:hAnsi="Consolas"/>
                <w:color w:val="FFFFFF"/>
                <w:sz w:val="16"/>
              </w:rPr>
              <w:t>}</w:t>
            </w:r>
            <w:r>
              <w:br/>
            </w:r>
            <w:r>
              <w:rPr>
                <w:rFonts w:ascii="Consolas" w:hAnsi="Consolas"/>
                <w:color w:val="FFFFFF"/>
                <w:sz w:val="16"/>
              </w:rPr>
            </w:r>
            <w:r>
              <w:br/>
            </w:r>
            <w:r>
              <w:rPr>
                <w:rFonts w:ascii="Consolas" w:hAnsi="Consolas"/>
                <w:color w:val="FFFFFF"/>
                <w:sz w:val="16"/>
              </w:rPr>
              <w:t>function parseZone(field) {</w:t>
            </w:r>
            <w:r>
              <w:br/>
            </w:r>
            <w:r>
              <w:rPr>
                <w:rFonts w:ascii="Consolas" w:hAnsi="Consolas"/>
                <w:color w:val="FFFFFF"/>
                <w:sz w:val="16"/>
              </w:rPr>
              <w:t xml:space="preserve">  if (!field) return [];</w:t>
            </w:r>
            <w:r>
              <w:br/>
            </w:r>
            <w:r>
              <w:rPr>
                <w:rFonts w:ascii="Consolas" w:hAnsi="Consolas"/>
                <w:color w:val="FFFFFF"/>
                <w:sz w:val="16"/>
              </w:rPr>
              <w:t xml:space="preserve">  return field.split('&lt;|&gt;').filter(Boolean).map(parseCardTuple);</w:t>
            </w:r>
            <w:r>
              <w:br/>
            </w:r>
            <w:r>
              <w:rPr>
                <w:rFonts w:ascii="Consolas" w:hAnsi="Consolas"/>
                <w:color w:val="FFFFFF"/>
                <w:sz w:val="16"/>
              </w:rPr>
              <w:t>}</w:t>
            </w:r>
          </w:p>
        </w:tc>
      </w:tr>
    </w:tbl>
    <w:p>
      <w:pPr>
        <w:spacing w:after="20"/>
      </w:pPr>
    </w:p>
    <w:p>
      <w:r>
        <w:rPr>
          <w:rFonts w:ascii="Calibri" w:hAnsi="Calibri"/>
          <w:color w:val="172033"/>
          <w:sz w:val="22"/>
        </w:rPr>
        <w:t>Important: the card object's mzID is the stable object handle used in subsequent actions. A card ID identifies a printed card; an mzID identifies that specific in-game object. Never replace an mzID with a card ID when submitting an action.</w:t>
      </w:r>
    </w:p>
    <w:p>
      <w:pPr>
        <w:pStyle w:val="Heading1"/>
      </w:pPr>
      <w:r>
        <w:t>6. Decisions and priority</w:t>
      </w:r>
    </w:p>
    <w:p>
      <w:r>
        <w:rPr>
          <w:rFonts w:ascii="Calibri" w:hAnsi="Calibri"/>
          <w:color w:val="172033"/>
          <w:sz w:val="22"/>
        </w:rPr>
        <w:t>The decision queue is the engine's prompt protocol. Do not show an arbitrary action picker while a decision is pending. Render the active decision first, submit exactly one response, and then wait for the next snapshot. The normal client uses the queue at the front of the acting player's decision queue and sends mode=DECISION, which ProcessInput maps to engine mode 100.</w:t>
      </w:r>
    </w:p>
    <w:p>
      <w:pPr>
        <w:pStyle w:val="ListBullet"/>
        <w:spacing w:after="60" w:line="288" w:lineRule="auto"/>
        <w:ind w:left="547" w:hanging="274"/>
      </w:pPr>
      <w:r>
        <w:rPr>
          <w:rFonts w:ascii="Calibri" w:hAnsi="Calibri"/>
          <w:color w:val="172033"/>
          <w:sz w:val="22"/>
        </w:rPr>
        <w:t>Use CurrentPhase, TurnPlayer, EffectStack, DecisionQueueVariables, and the viewer's decision queue to decide what to display; do not derive priority from local animations or timers.</w:t>
      </w:r>
    </w:p>
    <w:p>
      <w:pPr>
        <w:pStyle w:val="ListBullet"/>
        <w:spacing w:after="60" w:line="288" w:lineRule="auto"/>
        <w:ind w:left="547" w:hanging="274"/>
      </w:pPr>
      <w:r>
        <w:rPr>
          <w:rFonts w:ascii="Calibri" w:hAnsi="Calibri"/>
          <w:color w:val="172033"/>
          <w:sz w:val="22"/>
        </w:rPr>
        <w:t>If a decision supplies selectable cards, submit the chosen mzID in cardID. For a may-pass decision, submit cardID=PASS. Keep decisionIndex in the request because the existing client sends it, even though the active queue front remains authoritative.</w:t>
      </w:r>
    </w:p>
    <w:p>
      <w:pPr>
        <w:pStyle w:val="ListBullet"/>
        <w:spacing w:after="60" w:line="288" w:lineRule="auto"/>
        <w:ind w:left="547" w:hanging="274"/>
      </w:pPr>
      <w:r>
        <w:rPr>
          <w:rFonts w:ascii="Calibri" w:hAnsi="Calibri"/>
          <w:color w:val="172033"/>
          <w:sz w:val="22"/>
        </w:rPr>
        <w:t>For a multi-select decision, send the serialized result format expected by that decision type. Reuse the existing engine UI's serialization rules until a documented JSON decision endpoint is added.</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1F2937"/>
          </w:tcPr>
          <w:p>
            <w:pPr>
              <w:spacing w:after="0" w:line="240" w:lineRule="auto"/>
            </w:pPr>
            <w:r>
              <w:rPr>
                <w:rFonts w:ascii="Consolas" w:hAnsi="Consolas"/>
                <w:color w:val="FFFFFF"/>
                <w:sz w:val="16"/>
              </w:rPr>
              <w:t>async function answerDecision(decisionIndex, cardID) {</w:t>
            </w:r>
            <w:r>
              <w:br/>
            </w:r>
            <w:r>
              <w:rPr>
                <w:rFonts w:ascii="Consolas" w:hAnsi="Consolas"/>
                <w:color w:val="FFFFFF"/>
                <w:sz w:val="16"/>
              </w:rPr>
              <w:t xml:space="preserve">  return submit({</w:t>
            </w:r>
            <w:r>
              <w:br/>
            </w:r>
            <w:r>
              <w:rPr>
                <w:rFonts w:ascii="Consolas" w:hAnsi="Consolas"/>
                <w:color w:val="FFFFFF"/>
                <w:sz w:val="16"/>
              </w:rPr>
              <w:t xml:space="preserve">    mode: 'DECISION',</w:t>
            </w:r>
            <w:r>
              <w:br/>
            </w:r>
            <w:r>
              <w:rPr>
                <w:rFonts w:ascii="Consolas" w:hAnsi="Consolas"/>
                <w:color w:val="FFFFFF"/>
                <w:sz w:val="16"/>
              </w:rPr>
              <w:t xml:space="preserve">    decisionIndex: String(decisionIndex),</w:t>
            </w:r>
            <w:r>
              <w:br/>
            </w:r>
            <w:r>
              <w:rPr>
                <w:rFonts w:ascii="Consolas" w:hAnsi="Consolas"/>
                <w:color w:val="FFFFFF"/>
                <w:sz w:val="16"/>
              </w:rPr>
              <w:t xml:space="preserve">    cardID // e.g. 'myGarden-2' or 'PASS'</w:t>
            </w:r>
            <w:r>
              <w:br/>
            </w:r>
            <w:r>
              <w:rPr>
                <w:rFonts w:ascii="Consolas" w:hAnsi="Consolas"/>
                <w:color w:val="FFFFFF"/>
                <w:sz w:val="16"/>
              </w:rPr>
              <w:t xml:space="preserve">  });</w:t>
            </w:r>
            <w:r>
              <w:br/>
            </w:r>
            <w:r>
              <w:rPr>
                <w:rFonts w:ascii="Consolas" w:hAnsi="Consolas"/>
                <w:color w:val="FFFFFF"/>
                <w:sz w:val="16"/>
              </w:rPr>
              <w:t>}</w:t>
            </w:r>
          </w:p>
        </w:tc>
      </w:tr>
    </w:tbl>
    <w:p>
      <w:pPr>
        <w:spacing w:after="20"/>
      </w:pPr>
    </w:p>
    <w:p>
      <w:pPr>
        <w:pStyle w:val="Heading1"/>
      </w:pPr>
      <w:r>
        <w:t>7. Submitting actions</w:t>
      </w:r>
    </w:p>
    <w:p>
      <w:r>
        <w:rPr>
          <w:rFonts w:ascii="Calibri" w:hAnsi="Calibri"/>
          <w:color w:val="172033"/>
          <w:sz w:val="22"/>
        </w:rPr>
        <w:t>All current game actions go through the shared ProcessInput.php endpoint. The request must carry gameName, playerID, authKey, folderPath, and mode. The server re-loads the game, verifies the seat authorization, rejects spectator actions, validates legality, executes the action, and advances the update cache. A successful acknowledgement is not a board snapshot; always poll again.</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1F2937"/>
          </w:tcPr>
          <w:p>
            <w:pPr>
              <w:spacing w:after="0" w:line="240" w:lineRule="auto"/>
            </w:pPr>
            <w:r>
              <w:rPr>
                <w:rFonts w:ascii="Consolas" w:hAnsi="Consolas"/>
                <w:color w:val="FFFFFF"/>
                <w:sz w:val="16"/>
              </w:rPr>
              <w:t>async function submit({ mode, cardID, decisionIndex, buttonInput, inputText }) {</w:t>
            </w:r>
            <w:r>
              <w:br/>
            </w:r>
            <w:r>
              <w:rPr>
                <w:rFonts w:ascii="Consolas" w:hAnsi="Consolas"/>
                <w:color w:val="FFFFFF"/>
                <w:sz w:val="16"/>
              </w:rPr>
              <w:t xml:space="preserve">  const u = new URL(config.baseUrl + '/ProcessInput.php');</w:t>
            </w:r>
            <w:r>
              <w:br/>
            </w:r>
            <w:r>
              <w:rPr>
                <w:rFonts w:ascii="Consolas" w:hAnsi="Consolas"/>
                <w:color w:val="FFFFFF"/>
                <w:sz w:val="16"/>
              </w:rPr>
              <w:t xml:space="preserve">  const q = new URLSearchParams({</w:t>
            </w:r>
            <w:r>
              <w:br/>
            </w:r>
            <w:r>
              <w:rPr>
                <w:rFonts w:ascii="Consolas" w:hAnsi="Consolas"/>
                <w:color w:val="FFFFFF"/>
                <w:sz w:val="16"/>
              </w:rPr>
              <w:t xml:space="preserve">    gameName: config.gameName,</w:t>
            </w:r>
            <w:r>
              <w:br/>
            </w:r>
            <w:r>
              <w:rPr>
                <w:rFonts w:ascii="Consolas" w:hAnsi="Consolas"/>
                <w:color w:val="FFFFFF"/>
                <w:sz w:val="16"/>
              </w:rPr>
              <w:t xml:space="preserve">    playerID: config.playerID,</w:t>
            </w:r>
            <w:r>
              <w:br/>
            </w:r>
            <w:r>
              <w:rPr>
                <w:rFonts w:ascii="Consolas" w:hAnsi="Consolas"/>
                <w:color w:val="FFFFFF"/>
                <w:sz w:val="16"/>
              </w:rPr>
              <w:t xml:space="preserve">    authKey: config.authKey,</w:t>
            </w:r>
            <w:r>
              <w:br/>
            </w:r>
            <w:r>
              <w:rPr>
                <w:rFonts w:ascii="Consolas" w:hAnsi="Consolas"/>
                <w:color w:val="FFFFFF"/>
                <w:sz w:val="16"/>
              </w:rPr>
              <w:t xml:space="preserve">    folderPath: config.folderPath,</w:t>
            </w:r>
            <w:r>
              <w:br/>
            </w:r>
            <w:r>
              <w:rPr>
                <w:rFonts w:ascii="Consolas" w:hAnsi="Consolas"/>
                <w:color w:val="FFFFFF"/>
                <w:sz w:val="16"/>
              </w:rPr>
              <w:t xml:space="preserve">    mode: String(mode),</w:t>
            </w:r>
            <w:r>
              <w:br/>
            </w:r>
            <w:r>
              <w:rPr>
                <w:rFonts w:ascii="Consolas" w:hAnsi="Consolas"/>
                <w:color w:val="FFFFFF"/>
                <w:sz w:val="16"/>
              </w:rPr>
              <w:t xml:space="preserve">    responseFormat: 'json'</w:t>
            </w:r>
            <w:r>
              <w:br/>
            </w:r>
            <w:r>
              <w:rPr>
                <w:rFonts w:ascii="Consolas" w:hAnsi="Consolas"/>
                <w:color w:val="FFFFFF"/>
                <w:sz w:val="16"/>
              </w:rPr>
              <w:t xml:space="preserve">  });</w:t>
            </w:r>
            <w:r>
              <w:br/>
            </w:r>
            <w:r>
              <w:rPr>
                <w:rFonts w:ascii="Consolas" w:hAnsi="Consolas"/>
                <w:color w:val="FFFFFF"/>
                <w:sz w:val="16"/>
              </w:rPr>
              <w:t xml:space="preserve">  if (cardID !== undefined) q.set('cardID', cardID);</w:t>
            </w:r>
            <w:r>
              <w:br/>
            </w:r>
            <w:r>
              <w:rPr>
                <w:rFonts w:ascii="Consolas" w:hAnsi="Consolas"/>
                <w:color w:val="FFFFFF"/>
                <w:sz w:val="16"/>
              </w:rPr>
              <w:t xml:space="preserve">  if (decisionIndex !== undefined) q.set('decisionIndex', String(decisionIndex));</w:t>
            </w:r>
            <w:r>
              <w:br/>
            </w:r>
            <w:r>
              <w:rPr>
                <w:rFonts w:ascii="Consolas" w:hAnsi="Consolas"/>
                <w:color w:val="FFFFFF"/>
                <w:sz w:val="16"/>
              </w:rPr>
              <w:t xml:space="preserve">  if (buttonInput !== undefined) q.set('buttonInput', buttonInput);</w:t>
            </w:r>
            <w:r>
              <w:br/>
            </w:r>
            <w:r>
              <w:rPr>
                <w:rFonts w:ascii="Consolas" w:hAnsi="Consolas"/>
                <w:color w:val="FFFFFF"/>
                <w:sz w:val="16"/>
              </w:rPr>
              <w:t xml:space="preserve">  if (inputText !== undefined) q.set('inputText', inputText);</w:t>
            </w:r>
            <w:r>
              <w:br/>
            </w:r>
            <w:r>
              <w:rPr>
                <w:rFonts w:ascii="Consolas" w:hAnsi="Consolas"/>
                <w:color w:val="FFFFFF"/>
                <w:sz w:val="16"/>
              </w:rPr>
              <w:t xml:space="preserve">  u.search = q;</w:t>
            </w:r>
            <w:r>
              <w:br/>
            </w:r>
            <w:r>
              <w:rPr>
                <w:rFonts w:ascii="Consolas" w:hAnsi="Consolas"/>
                <w:color w:val="FFFFFF"/>
                <w:sz w:val="16"/>
              </w:rPr>
            </w:r>
            <w:r>
              <w:br/>
            </w:r>
            <w:r>
              <w:rPr>
                <w:rFonts w:ascii="Consolas" w:hAnsi="Consolas"/>
                <w:color w:val="FFFFFF"/>
                <w:sz w:val="16"/>
              </w:rPr>
              <w:t xml:space="preserve">  const r = await fetch(u, { credentials: 'include' });</w:t>
            </w:r>
            <w:r>
              <w:br/>
            </w:r>
            <w:r>
              <w:rPr>
                <w:rFonts w:ascii="Consolas" w:hAnsi="Consolas"/>
                <w:color w:val="FFFFFF"/>
                <w:sz w:val="16"/>
              </w:rPr>
              <w:t xml:space="preserve">  if (!r.ok) throw new Error(`action failed: ${r.status}`);</w:t>
            </w:r>
            <w:r>
              <w:br/>
            </w:r>
            <w:r>
              <w:rPr>
                <w:rFonts w:ascii="Consolas" w:hAnsi="Consolas"/>
                <w:color w:val="FFFFFF"/>
                <w:sz w:val="16"/>
              </w:rPr>
              <w:t xml:space="preserve">  const ack = await r.json();</w:t>
            </w:r>
            <w:r>
              <w:br/>
            </w:r>
            <w:r>
              <w:rPr>
                <w:rFonts w:ascii="Consolas" w:hAnsi="Consolas"/>
                <w:color w:val="FFFFFF"/>
                <w:sz w:val="16"/>
              </w:rPr>
              <w:t xml:space="preserve">  if (!ack.success) throw new Error(ack.message || 'action rejected');</w:t>
            </w:r>
            <w:r>
              <w:br/>
            </w:r>
            <w:r>
              <w:rPr>
                <w:rFonts w:ascii="Consolas" w:hAnsi="Consolas"/>
                <w:color w:val="FFFFFF"/>
                <w:sz w:val="16"/>
              </w:rPr>
              <w:t xml:space="preserve">  return ack;</w:t>
            </w:r>
            <w:r>
              <w:br/>
            </w:r>
            <w:r>
              <w:rPr>
                <w:rFonts w:ascii="Consolas" w:hAnsi="Consolas"/>
                <w:color w:val="FFFFFF"/>
                <w:sz w:val="16"/>
              </w:rPr>
              <w:t>}</w:t>
            </w:r>
          </w:p>
        </w:tc>
      </w:tr>
    </w:tbl>
    <w:p>
      <w:pPr>
        <w:spacing w:after="20"/>
      </w:pPr>
    </w:p>
    <w:tbl>
      <w:tblPr>
        <w:tblStyle w:val="TableGrid"/>
        <w:tblW w:type="dxa" w:w="9360"/>
        <w:tblLayout w:type="fixed"/>
        <w:tblLook w:firstColumn="1" w:firstRow="1" w:lastColumn="0" w:lastRow="0" w:noHBand="0" w:noVBand="1" w:val="04A0"/>
        <w:tblInd w:type="dxa" w:w="120"/>
      </w:tblPr>
      <w:tblGrid>
        <w:gridCol w:w="2360"/>
        <w:gridCol w:w="1500"/>
        <w:gridCol w:w="5500"/>
      </w:tblGrid>
      <w:tr>
        <w:tc>
          <w:tcPr>
            <w:tcW w:type="dxa" w:w="2360"/>
            <w:vAlign w:val="center"/>
            <w:tcMar>
              <w:top w:w="80" w:type="dxa"/>
              <w:start w:w="120" w:type="dxa"/>
              <w:bottom w:w="80" w:type="dxa"/>
              <w:end w:w="120" w:type="dxa"/>
            </w:tcMar>
            <w:shd w:fill="E8EEF5"/>
          </w:tcPr>
          <w:p>
            <w:pPr>
              <w:spacing w:after="0"/>
            </w:pPr>
            <w:r>
              <w:rPr>
                <w:rFonts w:ascii="Calibri" w:hAnsi="Calibri"/>
                <w:b/>
                <w:color w:val="1F4D78"/>
                <w:sz w:val="19"/>
              </w:rPr>
              <w:t>Intent</w:t>
            </w:r>
          </w:p>
        </w:tc>
        <w:tc>
          <w:tcPr>
            <w:tcW w:type="dxa" w:w="1500"/>
            <w:vAlign w:val="center"/>
            <w:tcMar>
              <w:top w:w="80" w:type="dxa"/>
              <w:start w:w="120" w:type="dxa"/>
              <w:bottom w:w="80" w:type="dxa"/>
              <w:end w:w="120" w:type="dxa"/>
            </w:tcMar>
            <w:shd w:fill="E8EEF5"/>
          </w:tcPr>
          <w:p>
            <w:pPr>
              <w:spacing w:after="0"/>
            </w:pPr>
            <w:r>
              <w:rPr>
                <w:rFonts w:ascii="Calibri" w:hAnsi="Calibri"/>
                <w:b/>
                <w:color w:val="1F4D78"/>
                <w:sz w:val="19"/>
              </w:rPr>
              <w:t>Mode</w:t>
            </w:r>
          </w:p>
        </w:tc>
        <w:tc>
          <w:tcPr>
            <w:tcW w:type="dxa" w:w="5500"/>
            <w:vAlign w:val="center"/>
            <w:tcMar>
              <w:top w:w="80" w:type="dxa"/>
              <w:start w:w="120" w:type="dxa"/>
              <w:bottom w:w="80" w:type="dxa"/>
              <w:end w:w="120" w:type="dxa"/>
            </w:tcMar>
            <w:shd w:fill="E8EEF5"/>
          </w:tcPr>
          <w:p>
            <w:pPr>
              <w:spacing w:after="0"/>
            </w:pPr>
            <w:r>
              <w:rPr>
                <w:rFonts w:ascii="Calibri" w:hAnsi="Calibri"/>
                <w:b/>
                <w:color w:val="1F4D78"/>
                <w:sz w:val="19"/>
              </w:rPr>
              <w:t>Typical cardID payload</w:t>
            </w:r>
          </w:p>
        </w:tc>
      </w:tr>
      <w:tr>
        <w:tc>
          <w:tcPr>
            <w:tcW w:type="dxa" w:w="2360"/>
          </w:tcPr>
          <w:p>
            <w:pPr>
              <w:spacing w:after="0"/>
            </w:pPr>
            <w:r>
              <w:rPr>
                <w:rFonts w:ascii="Calibri" w:hAnsi="Calibri"/>
                <w:color w:val="172033"/>
                <w:sz w:val="18"/>
              </w:rPr>
              <w:t>Widget / activated ability</w:t>
            </w:r>
          </w:p>
        </w:tc>
        <w:tc>
          <w:tcPr>
            <w:tcW w:type="dxa" w:w="1500"/>
          </w:tcPr>
          <w:p>
            <w:pPr>
              <w:spacing w:after="0"/>
            </w:pPr>
            <w:r>
              <w:rPr>
                <w:rFonts w:ascii="Calibri" w:hAnsi="Calibri"/>
                <w:color w:val="172033"/>
                <w:sz w:val="18"/>
              </w:rPr>
              <w:t>10001</w:t>
            </w:r>
          </w:p>
        </w:tc>
        <w:tc>
          <w:tcPr>
            <w:tcW w:type="dxa" w:w="5500"/>
          </w:tcPr>
          <w:p>
            <w:pPr>
              <w:spacing w:after="0"/>
            </w:pPr>
            <w:r>
              <w:rPr>
                <w:rFonts w:ascii="Calibri" w:hAnsi="Calibri"/>
                <w:color w:val="172033"/>
                <w:sz w:val="18"/>
              </w:rPr>
              <w:t>&lt;mzID&gt;!&lt;widgetType&gt;!&lt;action&gt;</w:t>
            </w:r>
          </w:p>
        </w:tc>
      </w:tr>
      <w:tr>
        <w:tc>
          <w:tcPr>
            <w:tcW w:type="dxa" w:w="2360"/>
          </w:tcPr>
          <w:p>
            <w:pPr>
              <w:spacing w:after="0"/>
            </w:pPr>
            <w:r>
              <w:rPr>
                <w:rFonts w:ascii="Calibri" w:hAnsi="Calibri"/>
                <w:color w:val="172033"/>
                <w:sz w:val="18"/>
              </w:rPr>
              <w:t>Selectable card's zone action</w:t>
            </w:r>
          </w:p>
        </w:tc>
        <w:tc>
          <w:tcPr>
            <w:tcW w:type="dxa" w:w="1500"/>
          </w:tcPr>
          <w:p>
            <w:pPr>
              <w:spacing w:after="0"/>
            </w:pPr>
            <w:r>
              <w:rPr>
                <w:rFonts w:ascii="Calibri" w:hAnsi="Calibri"/>
                <w:color w:val="172033"/>
                <w:sz w:val="18"/>
              </w:rPr>
              <w:t>10002</w:t>
            </w:r>
          </w:p>
        </w:tc>
        <w:tc>
          <w:tcPr>
            <w:tcW w:type="dxa" w:w="5500"/>
          </w:tcPr>
          <w:p>
            <w:pPr>
              <w:spacing w:after="0"/>
            </w:pPr>
            <w:r>
              <w:rPr>
                <w:rFonts w:ascii="Calibri" w:hAnsi="Calibri"/>
                <w:color w:val="172033"/>
                <w:sz w:val="18"/>
              </w:rPr>
              <w:t>&lt;mzID&gt;!&lt;action&gt;!&lt;comma-separated parameters&gt;</w:t>
            </w:r>
          </w:p>
        </w:tc>
      </w:tr>
      <w:tr>
        <w:tc>
          <w:tcPr>
            <w:tcW w:type="dxa" w:w="2360"/>
          </w:tcPr>
          <w:p>
            <w:pPr>
              <w:spacing w:after="0"/>
            </w:pPr>
            <w:r>
              <w:rPr>
                <w:rFonts w:ascii="Calibri" w:hAnsi="Calibri"/>
                <w:color w:val="172033"/>
                <w:sz w:val="18"/>
              </w:rPr>
              <w:t>Decision response</w:t>
            </w:r>
          </w:p>
        </w:tc>
        <w:tc>
          <w:tcPr>
            <w:tcW w:type="dxa" w:w="1500"/>
          </w:tcPr>
          <w:p>
            <w:pPr>
              <w:spacing w:after="0"/>
            </w:pPr>
            <w:r>
              <w:rPr>
                <w:rFonts w:ascii="Calibri" w:hAnsi="Calibri"/>
                <w:color w:val="172033"/>
                <w:sz w:val="18"/>
              </w:rPr>
              <w:t>DECISION</w:t>
            </w:r>
          </w:p>
        </w:tc>
        <w:tc>
          <w:tcPr>
            <w:tcW w:type="dxa" w:w="5500"/>
          </w:tcPr>
          <w:p>
            <w:pPr>
              <w:spacing w:after="0"/>
            </w:pPr>
            <w:r>
              <w:rPr>
                <w:rFonts w:ascii="Calibri" w:hAnsi="Calibri"/>
                <w:color w:val="172033"/>
                <w:sz w:val="18"/>
              </w:rPr>
              <w:t>A chosen mzID, a serialized decision answer, or PASS</w:t>
            </w:r>
          </w:p>
        </w:tc>
      </w:tr>
      <w:tr>
        <w:tc>
          <w:tcPr>
            <w:tcW w:type="dxa" w:w="2360"/>
          </w:tcPr>
          <w:p>
            <w:pPr>
              <w:spacing w:after="0"/>
            </w:pPr>
            <w:r>
              <w:rPr>
                <w:rFonts w:ascii="Calibri" w:hAnsi="Calibri"/>
                <w:color w:val="172033"/>
                <w:sz w:val="18"/>
              </w:rPr>
              <w:t>Azuki normal pass</w:t>
            </w:r>
          </w:p>
        </w:tc>
        <w:tc>
          <w:tcPr>
            <w:tcW w:type="dxa" w:w="1500"/>
          </w:tcPr>
          <w:p>
            <w:pPr>
              <w:spacing w:after="0"/>
            </w:pPr>
            <w:r>
              <w:rPr>
                <w:rFonts w:ascii="Calibri" w:hAnsi="Calibri"/>
                <w:color w:val="172033"/>
                <w:sz w:val="18"/>
              </w:rPr>
              <w:t>10001</w:t>
            </w:r>
          </w:p>
        </w:tc>
        <w:tc>
          <w:tcPr>
            <w:tcW w:type="dxa" w:w="5500"/>
          </w:tcPr>
          <w:p>
            <w:pPr>
              <w:spacing w:after="0"/>
            </w:pPr>
            <w:r>
              <w:rPr>
                <w:rFonts w:ascii="Calibri" w:hAnsi="Calibri"/>
                <w:color w:val="172033"/>
                <w:sz w:val="18"/>
              </w:rPr>
              <w:t>myLeaderHealthSlot!CustomInput!Pass</w:t>
            </w:r>
          </w:p>
        </w:tc>
      </w:tr>
    </w:tbl>
    <w:p>
      <w:pPr>
        <w:spacing w:after="40"/>
      </w:pPr>
    </w:p>
    <w:p>
      <w:r>
        <w:rPr>
          <w:rFonts w:ascii="Calibri" w:hAnsi="Calibri"/>
          <w:color w:val="172033"/>
          <w:sz w:val="22"/>
        </w:rPr>
        <w:t>Only submit payloads that the engine has exposed through the current snapshot, decision queue, or schema-driven UI metadata. The strings above document the existing client protocol; they are not permission to invent actions or bypass prereqs.</w:t>
      </w:r>
    </w:p>
    <w:p>
      <w:pPr>
        <w:pStyle w:val="Heading1"/>
      </w:pPr>
      <w:r>
        <w:t>8. Chat and optional popup support</w:t>
      </w:r>
    </w:p>
    <w:p>
      <w:r>
        <w:rPr>
          <w:rFonts w:ascii="Calibri" w:hAnsi="Calibri"/>
          <w:color w:val="172033"/>
          <w:sz w:val="22"/>
        </w:rPr>
        <w:t>Chat is already multiplexed into GetNextTurn. Include lastChatVersion and lastChatID in every poll. When the trailing chat payload advances, append only unseen message IDs. To send a message, call SubmitChat.php with gameName, playerID, authKey, folderPath, and chatText. Chat messages are sanitized and limited by the server.</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1F2937"/>
          </w:tcPr>
          <w:p>
            <w:pPr>
              <w:spacing w:after="0" w:line="240" w:lineRule="auto"/>
            </w:pPr>
            <w:r>
              <w:rPr>
                <w:rFonts w:ascii="Consolas" w:hAnsi="Consolas"/>
                <w:color w:val="FFFFFF"/>
                <w:sz w:val="16"/>
              </w:rPr>
              <w:t>const u = new URL(config.baseUrl + '/SubmitChat.php');</w:t>
            </w:r>
            <w:r>
              <w:br/>
            </w:r>
            <w:r>
              <w:rPr>
                <w:rFonts w:ascii="Consolas" w:hAnsi="Consolas"/>
                <w:color w:val="FFFFFF"/>
                <w:sz w:val="16"/>
              </w:rPr>
              <w:t>+u.search = new URLSearchParams({</w:t>
            </w:r>
            <w:r>
              <w:br/>
            </w:r>
            <w:r>
              <w:rPr>
                <w:rFonts w:ascii="Consolas" w:hAnsi="Consolas"/>
                <w:color w:val="FFFFFF"/>
                <w:sz w:val="16"/>
              </w:rPr>
              <w:t xml:space="preserve">  gameName: config.gameName, playerID: config.playerID,</w:t>
            </w:r>
            <w:r>
              <w:br/>
            </w:r>
            <w:r>
              <w:rPr>
                <w:rFonts w:ascii="Consolas" w:hAnsi="Consolas"/>
                <w:color w:val="FFFFFF"/>
                <w:sz w:val="16"/>
              </w:rPr>
              <w:t xml:space="preserve">  authKey: config.authKey, folderPath: config.folderPath,</w:t>
            </w:r>
            <w:r>
              <w:br/>
            </w:r>
            <w:r>
              <w:rPr>
                <w:rFonts w:ascii="Consolas" w:hAnsi="Consolas"/>
                <w:color w:val="FFFFFF"/>
                <w:sz w:val="16"/>
              </w:rPr>
              <w:t xml:space="preserve">  chatText: message</w:t>
            </w:r>
            <w:r>
              <w:br/>
            </w:r>
            <w:r>
              <w:rPr>
                <w:rFonts w:ascii="Consolas" w:hAnsi="Consolas"/>
                <w:color w:val="FFFFFF"/>
                <w:sz w:val="16"/>
              </w:rPr>
              <w:t>});</w:t>
            </w:r>
            <w:r>
              <w:br/>
            </w:r>
            <w:r>
              <w:rPr>
                <w:rFonts w:ascii="Consolas" w:hAnsi="Consolas"/>
                <w:color w:val="FFFFFF"/>
                <w:sz w:val="16"/>
              </w:rPr>
              <w:t>await fetch(u, { credentials: 'include' });</w:t>
            </w:r>
          </w:p>
        </w:tc>
      </w:tr>
    </w:tbl>
    <w:p>
      <w:pPr>
        <w:spacing w:after="20"/>
      </w:pPr>
    </w:p>
    <w:p>
      <w:r>
        <w:rPr>
          <w:rFonts w:ascii="Calibri" w:hAnsi="Calibri"/>
          <w:color w:val="172033"/>
          <w:sz w:val="22"/>
        </w:rPr>
        <w:t>GetPopupContent.php is optional. It is the legacy mechanism for card-zone popups and returns a separate delimiter payload. A custom client should normally render discard, hand, and field zones directly from the main snapshot and only add popup support if it needs the existing macro-button behavior.</w:t>
      </w:r>
    </w:p>
    <w:p>
      <w:pPr>
        <w:pStyle w:val="Heading1"/>
      </w:pPr>
      <w:r>
        <w:t>9. Security and deployment rules</w:t>
      </w:r>
    </w:p>
    <w:p>
      <w:pPr>
        <w:pStyle w:val="ListBullet"/>
        <w:spacing w:after="60" w:line="288" w:lineRule="auto"/>
        <w:ind w:left="547" w:hanging="274"/>
      </w:pPr>
      <w:r>
        <w:rPr>
          <w:rFonts w:ascii="Calibri" w:hAnsi="Calibri"/>
          <w:color w:val="172033"/>
          <w:sz w:val="22"/>
        </w:rPr>
        <w:t>Use HTTPS. Seat and spectator auth keys are credentials and currently travel in query strings because that is the existing engine contract.</w:t>
      </w:r>
    </w:p>
    <w:p>
      <w:pPr>
        <w:pStyle w:val="ListBullet"/>
        <w:spacing w:after="60" w:line="288" w:lineRule="auto"/>
        <w:ind w:left="547" w:hanging="274"/>
      </w:pPr>
      <w:r>
        <w:rPr>
          <w:rFonts w:ascii="Calibri" w:hAnsi="Calibri"/>
          <w:color w:val="172033"/>
          <w:sz w:val="22"/>
        </w:rPr>
        <w:t>Prefer serving the custom frontend from the same petranaki.net origin and deployment path. The engine endpoints do not constitute a documented cross-origin API; a separate origin needs an explicit reverse proxy or CORS policy controlled by the host.</w:t>
      </w:r>
    </w:p>
    <w:p>
      <w:pPr>
        <w:pStyle w:val="ListBullet"/>
        <w:spacing w:after="60" w:line="288" w:lineRule="auto"/>
        <w:ind w:left="547" w:hanging="274"/>
      </w:pPr>
      <w:r>
        <w:rPr>
          <w:rFonts w:ascii="Calibri" w:hAnsi="Calibri"/>
          <w:color w:val="172033"/>
          <w:sz w:val="22"/>
        </w:rPr>
        <w:t>Do not put full seat URLs in analytics, third-party error reporting, public screenshots, browser history exports, or referrer-bearing outbound links.</w:t>
      </w:r>
    </w:p>
    <w:p>
      <w:pPr>
        <w:pStyle w:val="ListBullet"/>
        <w:spacing w:after="60" w:line="288" w:lineRule="auto"/>
        <w:ind w:left="547" w:hanging="274"/>
      </w:pPr>
      <w:r>
        <w:rPr>
          <w:rFonts w:ascii="Calibri" w:hAnsi="Calibri"/>
          <w:color w:val="172033"/>
          <w:sz w:val="22"/>
        </w:rPr>
        <w:t>Never trust private-card data received under a different seat or perspective. Render the redacted CardBack values returned by the server.</w:t>
      </w:r>
    </w:p>
    <w:p>
      <w:pPr>
        <w:pStyle w:val="ListBullet"/>
        <w:spacing w:after="60" w:line="288" w:lineRule="auto"/>
        <w:ind w:left="547" w:hanging="274"/>
      </w:pPr>
      <w:r>
        <w:rPr>
          <w:rFonts w:ascii="Calibri" w:hAnsi="Calibri"/>
          <w:color w:val="172033"/>
          <w:sz w:val="22"/>
        </w:rPr>
        <w:t>Use one in-flight long-poll per game view. On network failure, retry with backoff; do not fan out parallel polling requests.</w:t>
      </w:r>
    </w:p>
    <w:p>
      <w:pPr>
        <w:pStyle w:val="Heading1"/>
      </w:pPr>
      <w:r>
        <w:t>10. Recommended client architecture</w:t>
      </w:r>
    </w:p>
    <w:p>
      <w:pPr>
        <w:pStyle w:val="ListNumber"/>
        <w:spacing w:after="80" w:line="288" w:lineRule="auto"/>
        <w:ind w:left="547" w:hanging="274"/>
      </w:pPr>
      <w:r>
        <w:rPr>
          <w:rFonts w:ascii="Calibri" w:hAnsi="Calibri"/>
          <w:color w:val="172033"/>
          <w:sz w:val="22"/>
        </w:rPr>
        <w:t>Bootstrap from a validated game link and store the connection fields in memory, not local analytics or logs.</w:t>
      </w:r>
    </w:p>
    <w:p>
      <w:pPr>
        <w:pStyle w:val="ListNumber"/>
        <w:spacing w:after="80" w:line="288" w:lineRule="auto"/>
        <w:ind w:left="547" w:hanging="274"/>
      </w:pPr>
      <w:r>
        <w:rPr>
          <w:rFonts w:ascii="Calibri" w:hAnsi="Calibri"/>
          <w:color w:val="172033"/>
          <w:sz w:val="22"/>
        </w:rPr>
        <w:t>Start the long-poll loop with lastUpdate=0, lastChatVersion=0, and lastChatID=0.</w:t>
      </w:r>
    </w:p>
    <w:p>
      <w:pPr>
        <w:pStyle w:val="ListNumber"/>
        <w:spacing w:after="80" w:line="288" w:lineRule="auto"/>
        <w:ind w:left="547" w:hanging="274"/>
      </w:pPr>
      <w:r>
        <w:rPr>
          <w:rFonts w:ascii="Calibri" w:hAnsi="Calibri"/>
          <w:color w:val="172033"/>
          <w:sz w:val="22"/>
        </w:rPr>
        <w:t>Parse each full snapshot into an immutable view model. Map P1/P2 wire blocks into local/opponent perspective only after parsing.</w:t>
      </w:r>
    </w:p>
    <w:p>
      <w:pPr>
        <w:pStyle w:val="ListNumber"/>
        <w:spacing w:after="80" w:line="288" w:lineRule="auto"/>
        <w:ind w:left="547" w:hanging="274"/>
      </w:pPr>
      <w:r>
        <w:rPr>
          <w:rFonts w:ascii="Calibri" w:hAnsi="Calibri"/>
          <w:color w:val="172033"/>
          <w:sz w:val="22"/>
        </w:rPr>
        <w:t>Render cards, zones, counters, phase, priority, prompts, and chat from that view model. Do not mutate it optimistically after clicks.</w:t>
      </w:r>
    </w:p>
    <w:p>
      <w:pPr>
        <w:pStyle w:val="ListNumber"/>
        <w:spacing w:after="80" w:line="288" w:lineRule="auto"/>
        <w:ind w:left="547" w:hanging="274"/>
      </w:pPr>
      <w:r>
        <w:rPr>
          <w:rFonts w:ascii="Calibri" w:hAnsi="Calibri"/>
          <w:color w:val="172033"/>
          <w:sz w:val="22"/>
        </w:rPr>
        <w:t>Submit an action, wait for its acknowledgement, then let the next poll replace the view model. Surface server rejection messages as UI feedback.</w:t>
      </w:r>
    </w:p>
    <w:p>
      <w:pPr>
        <w:pStyle w:val="ListNumber"/>
        <w:spacing w:after="80" w:line="288" w:lineRule="auto"/>
        <w:ind w:left="547" w:hanging="274"/>
      </w:pPr>
      <w:r>
        <w:rPr>
          <w:rFonts w:ascii="Calibri" w:hAnsi="Calibri"/>
          <w:color w:val="172033"/>
          <w:sz w:val="22"/>
        </w:rPr>
        <w:t>Add a protocol adapter layer. Keep all delimiter parsing, mode strings, and action serialization in that one layer so a future JSON endpoint can replace it without rewriting the UI.</w:t>
      </w:r>
    </w:p>
    <w:p>
      <w:pPr>
        <w:pStyle w:val="Heading1"/>
      </w:pPr>
      <w:r>
        <w:t>11. Error handling checklist</w:t>
      </w:r>
    </w:p>
    <w:tbl>
      <w:tblPr>
        <w:tblStyle w:val="TableGrid"/>
        <w:tblW w:type="dxa" w:w="9360"/>
        <w:tblLayout w:type="fixed"/>
        <w:tblLook w:firstColumn="1" w:firstRow="1" w:lastColumn="0" w:lastRow="0" w:noHBand="0" w:noVBand="1" w:val="04A0"/>
        <w:tblInd w:type="dxa" w:w="120"/>
      </w:tblPr>
      <w:tblGrid>
        <w:gridCol w:w="2200"/>
        <w:gridCol w:w="3400"/>
        <w:gridCol w:w="3760"/>
      </w:tblGrid>
      <w:tr>
        <w:tc>
          <w:tcPr>
            <w:tcW w:type="dxa" w:w="2200"/>
            <w:vAlign w:val="center"/>
            <w:tcMar>
              <w:top w:w="80" w:type="dxa"/>
              <w:start w:w="120" w:type="dxa"/>
              <w:bottom w:w="80" w:type="dxa"/>
              <w:end w:w="120" w:type="dxa"/>
            </w:tcMar>
            <w:shd w:fill="E8EEF5"/>
          </w:tcPr>
          <w:p>
            <w:pPr>
              <w:spacing w:after="0"/>
            </w:pPr>
            <w:r>
              <w:rPr>
                <w:rFonts w:ascii="Calibri" w:hAnsi="Calibri"/>
                <w:b/>
                <w:color w:val="1F4D78"/>
                <w:sz w:val="19"/>
              </w:rPr>
              <w:t>Symptom</w:t>
            </w:r>
          </w:p>
        </w:tc>
        <w:tc>
          <w:tcPr>
            <w:tcW w:type="dxa" w:w="3400"/>
            <w:vAlign w:val="center"/>
            <w:tcMar>
              <w:top w:w="80" w:type="dxa"/>
              <w:start w:w="120" w:type="dxa"/>
              <w:bottom w:w="80" w:type="dxa"/>
              <w:end w:w="120" w:type="dxa"/>
            </w:tcMar>
            <w:shd w:fill="E8EEF5"/>
          </w:tcPr>
          <w:p>
            <w:pPr>
              <w:spacing w:after="0"/>
            </w:pPr>
            <w:r>
              <w:rPr>
                <w:rFonts w:ascii="Calibri" w:hAnsi="Calibri"/>
                <w:b/>
                <w:color w:val="1F4D78"/>
                <w:sz w:val="19"/>
              </w:rPr>
              <w:t>Likely cause</w:t>
            </w:r>
          </w:p>
        </w:tc>
        <w:tc>
          <w:tcPr>
            <w:tcW w:type="dxa" w:w="3760"/>
            <w:vAlign w:val="center"/>
            <w:tcMar>
              <w:top w:w="80" w:type="dxa"/>
              <w:start w:w="120" w:type="dxa"/>
              <w:bottom w:w="80" w:type="dxa"/>
              <w:end w:w="120" w:type="dxa"/>
            </w:tcMar>
            <w:shd w:fill="E8EEF5"/>
          </w:tcPr>
          <w:p>
            <w:pPr>
              <w:spacing w:after="0"/>
            </w:pPr>
            <w:r>
              <w:rPr>
                <w:rFonts w:ascii="Calibri" w:hAnsi="Calibri"/>
                <w:b/>
                <w:color w:val="1F4D78"/>
                <w:sz w:val="19"/>
              </w:rPr>
              <w:t>Correct behavior</w:t>
            </w:r>
          </w:p>
        </w:tc>
      </w:tr>
      <w:tr>
        <w:tc>
          <w:tcPr>
            <w:tcW w:type="dxa" w:w="2200"/>
          </w:tcPr>
          <w:p>
            <w:pPr>
              <w:spacing w:after="0"/>
            </w:pPr>
            <w:r>
              <w:rPr>
                <w:rFonts w:ascii="Calibri" w:hAnsi="Calibri"/>
                <w:color w:val="172033"/>
                <w:sz w:val="18"/>
              </w:rPr>
              <w:t>401/403 or Invalid auth key</w:t>
            </w:r>
          </w:p>
        </w:tc>
        <w:tc>
          <w:tcPr>
            <w:tcW w:type="dxa" w:w="3400"/>
          </w:tcPr>
          <w:p>
            <w:pPr>
              <w:spacing w:after="0"/>
            </w:pPr>
            <w:r>
              <w:rPr>
                <w:rFonts w:ascii="Calibri" w:hAnsi="Calibri"/>
                <w:color w:val="172033"/>
                <w:sz w:val="18"/>
              </w:rPr>
              <w:t>Expired, wrong-seat, or private spectator key.</w:t>
            </w:r>
          </w:p>
        </w:tc>
        <w:tc>
          <w:tcPr>
            <w:tcW w:type="dxa" w:w="3760"/>
          </w:tcPr>
          <w:p>
            <w:pPr>
              <w:spacing w:after="0"/>
            </w:pPr>
            <w:r>
              <w:rPr>
                <w:rFonts w:ascii="Calibri" w:hAnsi="Calibri"/>
                <w:color w:val="172033"/>
                <w:sz w:val="18"/>
              </w:rPr>
              <w:t>Stop retries; require a fresh authorized link.</w:t>
            </w:r>
          </w:p>
        </w:tc>
      </w:tr>
      <w:tr>
        <w:tc>
          <w:tcPr>
            <w:tcW w:type="dxa" w:w="2200"/>
          </w:tcPr>
          <w:p>
            <w:pPr>
              <w:spacing w:after="0"/>
            </w:pPr>
            <w:r>
              <w:rPr>
                <w:rFonts w:ascii="Calibri" w:hAnsi="Calibri"/>
                <w:color w:val="172033"/>
                <w:sz w:val="18"/>
              </w:rPr>
              <w:t>Snapshot update &lt;= lastUpdate</w:t>
            </w:r>
          </w:p>
        </w:tc>
        <w:tc>
          <w:tcPr>
            <w:tcW w:type="dxa" w:w="3400"/>
          </w:tcPr>
          <w:p>
            <w:pPr>
              <w:spacing w:after="0"/>
            </w:pPr>
            <w:r>
              <w:rPr>
                <w:rFonts w:ascii="Calibri" w:hAnsi="Calibri"/>
                <w:color w:val="172033"/>
                <w:sz w:val="18"/>
              </w:rPr>
              <w:t>Delayed duplicate response.</w:t>
            </w:r>
          </w:p>
        </w:tc>
        <w:tc>
          <w:tcPr>
            <w:tcW w:type="dxa" w:w="3760"/>
          </w:tcPr>
          <w:p>
            <w:pPr>
              <w:spacing w:after="0"/>
            </w:pPr>
            <w:r>
              <w:rPr>
                <w:rFonts w:ascii="Calibri" w:hAnsi="Calibri"/>
                <w:color w:val="172033"/>
                <w:sz w:val="18"/>
              </w:rPr>
              <w:t>Ignore it and continue polling.</w:t>
            </w:r>
          </w:p>
        </w:tc>
      </w:tr>
      <w:tr>
        <w:tc>
          <w:tcPr>
            <w:tcW w:type="dxa" w:w="2200"/>
          </w:tcPr>
          <w:p>
            <w:pPr>
              <w:spacing w:after="0"/>
            </w:pPr>
            <w:r>
              <w:rPr>
                <w:rFonts w:ascii="Calibri" w:hAnsi="Calibri"/>
                <w:color w:val="172033"/>
                <w:sz w:val="18"/>
              </w:rPr>
              <w:t>KEEPALIVE</w:t>
            </w:r>
          </w:p>
        </w:tc>
        <w:tc>
          <w:tcPr>
            <w:tcW w:type="dxa" w:w="3400"/>
          </w:tcPr>
          <w:p>
            <w:pPr>
              <w:spacing w:after="0"/>
            </w:pPr>
            <w:r>
              <w:rPr>
                <w:rFonts w:ascii="Calibri" w:hAnsi="Calibri"/>
                <w:color w:val="172033"/>
                <w:sz w:val="18"/>
              </w:rPr>
              <w:t>Expected long-poll timeout.</w:t>
            </w:r>
          </w:p>
        </w:tc>
        <w:tc>
          <w:tcPr>
            <w:tcW w:type="dxa" w:w="3760"/>
          </w:tcPr>
          <w:p>
            <w:pPr>
              <w:spacing w:after="0"/>
            </w:pPr>
            <w:r>
              <w:rPr>
                <w:rFonts w:ascii="Calibri" w:hAnsi="Calibri"/>
                <w:color w:val="172033"/>
                <w:sz w:val="18"/>
              </w:rPr>
              <w:t>Immediately issue the next poll.</w:t>
            </w:r>
          </w:p>
        </w:tc>
      </w:tr>
      <w:tr>
        <w:tc>
          <w:tcPr>
            <w:tcW w:type="dxa" w:w="2200"/>
          </w:tcPr>
          <w:p>
            <w:pPr>
              <w:spacing w:after="0"/>
            </w:pPr>
            <w:r>
              <w:rPr>
                <w:rFonts w:ascii="Calibri" w:hAnsi="Calibri"/>
                <w:color w:val="172033"/>
                <w:sz w:val="18"/>
              </w:rPr>
              <w:t>Action acknowledgement says success=false</w:t>
            </w:r>
          </w:p>
        </w:tc>
        <w:tc>
          <w:tcPr>
            <w:tcW w:type="dxa" w:w="3400"/>
          </w:tcPr>
          <w:p>
            <w:pPr>
              <w:spacing w:after="0"/>
            </w:pPr>
            <w:r>
              <w:rPr>
                <w:rFonts w:ascii="Calibri" w:hAnsi="Calibri"/>
                <w:color w:val="172033"/>
                <w:sz w:val="18"/>
              </w:rPr>
              <w:t>Illegal action, wrong priority, or stale state.</w:t>
            </w:r>
          </w:p>
        </w:tc>
        <w:tc>
          <w:tcPr>
            <w:tcW w:type="dxa" w:w="3760"/>
          </w:tcPr>
          <w:p>
            <w:pPr>
              <w:spacing w:after="0"/>
            </w:pPr>
            <w:r>
              <w:rPr>
                <w:rFonts w:ascii="Calibri" w:hAnsi="Calibri"/>
                <w:color w:val="172033"/>
                <w:sz w:val="18"/>
              </w:rPr>
              <w:t>Show the message, then poll; never force local state.</w:t>
            </w:r>
          </w:p>
        </w:tc>
      </w:tr>
      <w:tr>
        <w:tc>
          <w:tcPr>
            <w:tcW w:type="dxa" w:w="2200"/>
          </w:tcPr>
          <w:p>
            <w:pPr>
              <w:spacing w:after="0"/>
            </w:pPr>
            <w:r>
              <w:rPr>
                <w:rFonts w:ascii="Calibri" w:hAnsi="Calibri"/>
                <w:color w:val="172033"/>
                <w:sz w:val="18"/>
              </w:rPr>
              <w:t>Malformed delimiter payload</w:t>
            </w:r>
          </w:p>
        </w:tc>
        <w:tc>
          <w:tcPr>
            <w:tcW w:type="dxa" w:w="3400"/>
          </w:tcPr>
          <w:p>
            <w:pPr>
              <w:spacing w:after="0"/>
            </w:pPr>
            <w:r>
              <w:rPr>
                <w:rFonts w:ascii="Calibri" w:hAnsi="Calibri"/>
                <w:color w:val="172033"/>
                <w:sz w:val="18"/>
              </w:rPr>
              <w:t>Partial deploy, proxy error, or unexpected HTML/PHP output.</w:t>
            </w:r>
          </w:p>
        </w:tc>
        <w:tc>
          <w:tcPr>
            <w:tcW w:type="dxa" w:w="3760"/>
          </w:tcPr>
          <w:p>
            <w:pPr>
              <w:spacing w:after="0"/>
            </w:pPr>
            <w:r>
              <w:rPr>
                <w:rFonts w:ascii="Calibri" w:hAnsi="Calibri"/>
                <w:color w:val="172033"/>
                <w:sz w:val="18"/>
              </w:rPr>
              <w:t>Log a redacted sample, back off, and do not overwrite the current board.</w:t>
            </w:r>
          </w:p>
        </w:tc>
      </w:tr>
    </w:tbl>
    <w:p>
      <w:pPr>
        <w:spacing w:after="40"/>
      </w:pPr>
    </w:p>
    <w:p>
      <w:pPr>
        <w:pStyle w:val="Heading1"/>
      </w:pPr>
      <w:r>
        <w:t>12. Source-of-truth files for future maintainers</w:t>
      </w:r>
    </w:p>
    <w:p>
      <w:r>
        <w:rPr>
          <w:rFonts w:ascii="Calibri" w:hAnsi="Calibri"/>
          <w:color w:val="172033"/>
          <w:sz w:val="22"/>
        </w:rPr>
        <w:t>This guide was verified against the current repository implementation. If the protocol changes, update the adapter and this document from these sources:</w:t>
      </w:r>
    </w:p>
    <w:p>
      <w:pPr>
        <w:pStyle w:val="ListBullet"/>
        <w:spacing w:after="60" w:line="288" w:lineRule="auto"/>
        <w:ind w:left="547" w:hanging="274"/>
      </w:pPr>
      <w:r>
        <w:rPr>
          <w:rFonts w:ascii="Calibri" w:hAnsi="Calibri"/>
          <w:color w:val="172033"/>
          <w:sz w:val="22"/>
        </w:rPr>
        <w:t>AzukiSim/GetNextTurn.php: board serialization, authentication, long-poll behavior, and Azuki-specific zone order.</w:t>
      </w:r>
    </w:p>
    <w:p>
      <w:pPr>
        <w:pStyle w:val="ListBullet"/>
        <w:spacing w:after="60" w:line="288" w:lineRule="auto"/>
        <w:ind w:left="547" w:hanging="274"/>
      </w:pPr>
      <w:r>
        <w:rPr>
          <w:rFonts w:ascii="Calibri" w:hAnsi="Calibri"/>
          <w:color w:val="172033"/>
          <w:sz w:val="22"/>
        </w:rPr>
        <w:t>AzukiSim/NextTurnRender.php: exact response-array indexes and player-perspective remapping used by the bundled frontend.</w:t>
      </w:r>
    </w:p>
    <w:p>
      <w:pPr>
        <w:pStyle w:val="ListBullet"/>
        <w:spacing w:after="60" w:line="288" w:lineRule="auto"/>
        <w:ind w:left="547" w:hanging="274"/>
      </w:pPr>
      <w:r>
        <w:rPr>
          <w:rFonts w:ascii="Calibri" w:hAnsi="Calibri"/>
          <w:color w:val="172033"/>
          <w:sz w:val="22"/>
        </w:rPr>
        <w:t>ProcessInput.php and Core/EngineActionRunner.php: action validation, DECISION normalization, and JSON acknowledgement behavior.</w:t>
      </w:r>
    </w:p>
    <w:p>
      <w:pPr>
        <w:pStyle w:val="ListBullet"/>
        <w:spacing w:after="60" w:line="288" w:lineRule="auto"/>
        <w:ind w:left="547" w:hanging="274"/>
      </w:pPr>
      <w:r>
        <w:rPr>
          <w:rFonts w:ascii="Calibri" w:hAnsi="Calibri"/>
          <w:color w:val="172033"/>
          <w:sz w:val="22"/>
        </w:rPr>
        <w:t>Core/jsInclude.js and Core/UILibraries20261001.js: current browser action serialization, decision UI, chat behavior, and zone rendering conventions.</w:t>
      </w:r>
    </w:p>
    <w:p>
      <w:pPr>
        <w:pStyle w:val="ListBullet"/>
        <w:spacing w:after="60" w:line="288" w:lineRule="auto"/>
        <w:ind w:left="547" w:hanging="274"/>
      </w:pPr>
      <w:r>
        <w:rPr>
          <w:rFonts w:ascii="Calibri" w:hAnsi="Calibri"/>
          <w:color w:val="172033"/>
          <w:sz w:val="22"/>
        </w:rPr>
        <w:t>Core/GameAuth.php and Core/ViewerIdentity.php: seat/spectator identity and authorization rules.</w:t>
      </w:r>
    </w:p>
    <w:p>
      <w:pPr>
        <w:pStyle w:val="Heading1"/>
      </w:pPr>
      <w:r>
        <w:t>Quick start reference</w:t>
      </w:r>
    </w:p>
    <w:tbl>
      <w:tblPr>
        <w:tblW w:type="dxa" w:w="9360"/>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1F2937"/>
          </w:tcPr>
          <w:p>
            <w:pPr>
              <w:spacing w:after="0" w:line="240" w:lineRule="auto"/>
            </w:pPr>
            <w:r>
              <w:rPr>
                <w:rFonts w:ascii="Consolas" w:hAnsi="Consolas"/>
                <w:color w:val="FFFFFF"/>
                <w:sz w:val="16"/>
              </w:rPr>
              <w:t>1. GET  {base}/AzukiSim/GetNextTurn.php?...&amp;lastUpdate=0</w:t>
            </w:r>
            <w:r>
              <w:br/>
            </w:r>
            <w:r>
              <w:rPr>
                <w:rFonts w:ascii="Consolas" w:hAnsi="Consolas"/>
                <w:color w:val="FFFFFF"/>
                <w:sz w:val="16"/>
              </w:rPr>
              <w:t>2. If response is a snapshot: parse &lt;~&gt;, render it, save update/chat cursors.</w:t>
            </w:r>
            <w:r>
              <w:br/>
            </w:r>
            <w:r>
              <w:rPr>
                <w:rFonts w:ascii="Consolas" w:hAnsi="Consolas"/>
                <w:color w:val="FFFFFF"/>
                <w:sz w:val="16"/>
              </w:rPr>
              <w:t>3. If the player chooses a legal server-exposed action: GET {base}/ProcessInput.php?...&amp;responseFormat=json</w:t>
            </w:r>
            <w:r>
              <w:br/>
            </w:r>
            <w:r>
              <w:rPr>
                <w:rFonts w:ascii="Consolas" w:hAnsi="Consolas"/>
                <w:color w:val="FFFFFF"/>
                <w:sz w:val="16"/>
              </w:rPr>
              <w:t>4. Do not update the board locally. Continue GET polling and render the next snapshot.</w:t>
            </w:r>
            <w:r>
              <w:br/>
            </w:r>
            <w:r>
              <w:rPr>
                <w:rFonts w:ascii="Consolas" w:hAnsi="Consolas"/>
                <w:color w:val="FFFFFF"/>
                <w:sz w:val="16"/>
              </w:rPr>
              <w:t>5. On invalid auth, stop and obtain a new seat/spectator link.</w:t>
            </w:r>
          </w:p>
        </w:tc>
      </w:tr>
    </w:tbl>
    <w:p>
      <w:pPr>
        <w:spacing w:after="20"/>
      </w:pP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7"/>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B7A"/>
        <w:sz w:val="17"/>
      </w:rPr>
      <w:t>TCGEngine remote frontend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TCGEngine Remote Frontend Integration Guide</dc:title>
  <dc:subject>Custom frontend protocol for remotely hosted AzukiSim games</dc:subject>
  <dc:creator>TCGEngine</dc:creator>
  <cp:keywords/>
  <dc:description>generated by python-docx</dc:description>
  <cp:lastModifiedBy/>
  <cp:revision>1</cp:revision>
  <dcterms:created xsi:type="dcterms:W3CDTF">2013-12-23T23:15:00Z</dcterms:created>
  <dcterms:modified xsi:type="dcterms:W3CDTF">2013-12-23T23:15:00Z</dcterms:modified>
  <cp:category/>
</cp:coreProperties>
</file>