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  <w:szCs w:val="28"/>
        </w:rPr>
        <w:t>TCGAExpedition  User Guide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4"/>
          <w:szCs w:val="24"/>
        </w:rPr>
        <w:t>1. Overview</w:t>
      </w:r>
    </w:p>
    <w:p>
      <w:pPr>
        <w:pStyle w:val="style0"/>
      </w:pPr>
      <w:r>
        <w:rPr/>
        <w:t>TCGAExpedition provides the research community access to the TCGA public and controlled data. The software generates versioned, participant and sample-centered locally stored data and metadata. It supports flexible searches of the data via a web portal.</w:t>
      </w:r>
    </w:p>
    <w:p>
      <w:pPr>
        <w:pStyle w:val="style35"/>
        <w:spacing w:after="28" w:before="28"/>
      </w:pPr>
      <w:r>
        <w:rPr>
          <w:rFonts w:ascii="Calibri" w:cs="Arial" w:hAnsi="Calibri"/>
          <w:color w:val="222222"/>
          <w:sz w:val="22"/>
          <w:szCs w:val="22"/>
        </w:rPr>
      </w:r>
    </w:p>
    <w:p>
      <w:pPr>
        <w:pStyle w:val="style35"/>
        <w:spacing w:after="28" w:before="28"/>
      </w:pPr>
      <w:r>
        <w:rPr>
          <w:rFonts w:ascii="Calibri" w:cs="Arial" w:hAnsi="Calibri"/>
          <w:color w:val="222222"/>
          <w:sz w:val="22"/>
          <w:szCs w:val="22"/>
        </w:rPr>
        <w:t>TCGAExpedition Modules:</w:t>
      </w:r>
    </w:p>
    <w:p>
      <w:pPr>
        <w:pStyle w:val="style35"/>
        <w:numPr>
          <w:ilvl w:val="0"/>
          <w:numId w:val="4"/>
        </w:numPr>
        <w:spacing w:after="28" w:before="28"/>
      </w:pPr>
      <w:r>
        <w:rPr>
          <w:rFonts w:ascii="Calibri" w:cs="Arial" w:hAnsi="Calibri"/>
          <w:color w:val="222222"/>
          <w:sz w:val="22"/>
          <w:szCs w:val="22"/>
          <w:u w:val="single"/>
        </w:rPr>
        <w:t>Data uploader</w:t>
      </w:r>
      <w:r>
        <w:rPr>
          <w:rFonts w:ascii="Calibri" w:cs="Arial" w:hAnsi="Calibri"/>
          <w:color w:val="222222"/>
          <w:sz w:val="22"/>
          <w:szCs w:val="22"/>
        </w:rPr>
        <w:t xml:space="preserve">: </w:t>
      </w:r>
      <w:hyperlink r:id="rId2">
        <w:r>
          <w:rPr>
            <w:rStyle w:val="style16"/>
            <w:rFonts w:ascii="Calibri" w:cs="Arial" w:hAnsi="Calibri"/>
            <w:color w:val="1155CC"/>
            <w:sz w:val="22"/>
            <w:szCs w:val="22"/>
          </w:rPr>
          <w:t>tcga-expedition</w:t>
        </w:r>
      </w:hyperlink>
      <w:r>
        <w:rPr>
          <w:rStyle w:val="style21"/>
          <w:rFonts w:ascii="Calibri" w:cs="Arial" w:hAnsi="Calibri"/>
          <w:color w:val="222222"/>
          <w:sz w:val="22"/>
          <w:szCs w:val="22"/>
        </w:rPr>
        <w:t> </w:t>
      </w:r>
      <w:r>
        <w:rPr>
          <w:rFonts w:ascii="Calibri" w:cs="Arial" w:hAnsi="Calibri"/>
          <w:color w:val="222222"/>
          <w:sz w:val="22"/>
          <w:szCs w:val="22"/>
        </w:rPr>
        <w:t xml:space="preserve">– performs TCGA data download,  creates and stores metadata about the downloaded files. </w:t>
      </w:r>
    </w:p>
    <w:p>
      <w:pPr>
        <w:pStyle w:val="style35"/>
        <w:numPr>
          <w:ilvl w:val="0"/>
          <w:numId w:val="4"/>
        </w:numPr>
        <w:spacing w:after="28" w:before="28"/>
      </w:pPr>
      <w:r>
        <w:rPr>
          <w:rFonts w:ascii="Calibri" w:cs="Arial" w:hAnsi="Calibri"/>
          <w:color w:val="222222"/>
          <w:sz w:val="22"/>
          <w:szCs w:val="22"/>
          <w:u w:val="single"/>
        </w:rPr>
        <w:t>Web portal (optional)</w:t>
      </w:r>
      <w:r>
        <w:rPr>
          <w:rFonts w:ascii="Calibri" w:cs="Arial" w:hAnsi="Calibri"/>
          <w:color w:val="222222"/>
          <w:sz w:val="22"/>
          <w:szCs w:val="22"/>
        </w:rPr>
        <w:t xml:space="preserve">: </w:t>
      </w:r>
      <w:hyperlink r:id="rId3">
        <w:r>
          <w:rPr>
            <w:rStyle w:val="style16"/>
            <w:rFonts w:ascii="Calibri" w:cs="Arial" w:hAnsi="Calibri"/>
            <w:color w:val="1155CC"/>
            <w:sz w:val="22"/>
            <w:szCs w:val="22"/>
          </w:rPr>
          <w:t>ipm</w:t>
        </w:r>
      </w:hyperlink>
      <w:r>
        <w:rPr>
          <w:rStyle w:val="style21"/>
          <w:rFonts w:ascii="Calibri" w:cs="Arial" w:hAnsi="Calibri"/>
          <w:color w:val="222222"/>
          <w:sz w:val="22"/>
          <w:szCs w:val="22"/>
        </w:rPr>
        <w:t> </w:t>
      </w:r>
      <w:r>
        <w:rPr>
          <w:rFonts w:ascii="Calibri" w:cs="Arial" w:hAnsi="Calibri"/>
          <w:color w:val="222222"/>
          <w:sz w:val="22"/>
          <w:szCs w:val="22"/>
        </w:rPr>
        <w:t>plus</w:t>
      </w:r>
      <w:r>
        <w:rPr>
          <w:rStyle w:val="style21"/>
          <w:rFonts w:ascii="Calibri" w:cs="Arial" w:hAnsi="Calibri"/>
          <w:color w:val="222222"/>
          <w:sz w:val="22"/>
          <w:szCs w:val="22"/>
        </w:rPr>
        <w:t> </w:t>
      </w:r>
      <w:hyperlink r:id="rId4">
        <w:r>
          <w:rPr>
            <w:rStyle w:val="style16"/>
            <w:rFonts w:ascii="Calibri" w:cs="Arial" w:hAnsi="Calibri"/>
            <w:color w:val="1155CC"/>
            <w:sz w:val="22"/>
            <w:szCs w:val="22"/>
          </w:rPr>
          <w:t>ipm-ws</w:t>
        </w:r>
      </w:hyperlink>
      <w:r>
        <w:rPr>
          <w:rStyle w:val="style21"/>
          <w:rFonts w:ascii="Calibri" w:cs="Arial" w:hAnsi="Calibri"/>
          <w:color w:val="222222"/>
          <w:sz w:val="22"/>
          <w:szCs w:val="22"/>
        </w:rPr>
        <w:t> </w:t>
      </w:r>
      <w:r>
        <w:rPr>
          <w:rFonts w:ascii="Calibri" w:cs="Arial" w:hAnsi="Calibri"/>
          <w:color w:val="222222"/>
          <w:sz w:val="22"/>
          <w:szCs w:val="22"/>
        </w:rPr>
        <w:t>– serve for identifying files of interest based on metadata query and filtering, and to download a manifest of files and directory locations. It also provides notification mechanisms based on</w:t>
      </w:r>
      <w:r>
        <w:rPr>
          <w:rStyle w:val="style21"/>
          <w:rFonts w:ascii="Calibri" w:cs="Arial" w:hAnsi="Calibri"/>
          <w:color w:val="222222"/>
          <w:sz w:val="22"/>
          <w:szCs w:val="22"/>
        </w:rPr>
        <w:t> </w:t>
      </w:r>
      <w:hyperlink r:id="rId5">
        <w:r>
          <w:rPr>
            <w:rStyle w:val="style16"/>
            <w:rFonts w:ascii="Calibri" w:cs="Arial" w:hAnsi="Calibri"/>
            <w:color w:val="1155CC"/>
            <w:sz w:val="22"/>
            <w:szCs w:val="22"/>
          </w:rPr>
          <w:t>tcga-expedition</w:t>
        </w:r>
      </w:hyperlink>
      <w:r>
        <w:rPr>
          <w:rFonts w:ascii="Calibri" w:cs="Arial" w:hAnsi="Calibri"/>
          <w:color w:val="222222"/>
          <w:sz w:val="22"/>
          <w:szCs w:val="22"/>
        </w:rPr>
        <w:t xml:space="preserve"> RDF graph or relational metadata store. </w:t>
      </w:r>
    </w:p>
    <w:p>
      <w:pPr>
        <w:pStyle w:val="style35"/>
        <w:spacing w:after="28" w:before="28"/>
      </w:pPr>
      <w:r>
        <w:rPr/>
      </w:r>
    </w:p>
    <w:p>
      <w:pPr>
        <w:pStyle w:val="style35"/>
        <w:spacing w:after="28" w:before="28"/>
      </w:pPr>
      <w:r>
        <w:rPr>
          <w:rFonts w:ascii="Calibri" w:cs="Arial" w:hAnsi="Calibri"/>
          <w:color w:val="222222"/>
          <w:sz w:val="22"/>
          <w:szCs w:val="22"/>
        </w:rPr>
        <w:t xml:space="preserve">See TCGAExpedition installation and demo </w:t>
      </w:r>
      <w:hyperlink r:id="rId6">
        <w:r>
          <w:rPr>
            <w:rStyle w:val="style16"/>
            <w:rFonts w:ascii="Calibri" w:cs="Arial" w:hAnsi="Calibri"/>
            <w:color w:val="222222"/>
            <w:sz w:val="22"/>
            <w:szCs w:val="22"/>
          </w:rPr>
          <w:t>video</w:t>
        </w:r>
      </w:hyperlink>
      <w:r>
        <w:rPr>
          <w:rFonts w:ascii="Calibri" w:cs="Arial" w:hAnsi="Calibri"/>
          <w:color w:val="222222"/>
          <w:sz w:val="22"/>
          <w:szCs w:val="22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4"/>
          <w:szCs w:val="24"/>
        </w:rPr>
        <w:t>2. Access Requirements</w:t>
      </w:r>
    </w:p>
    <w:p>
      <w:pPr>
        <w:pStyle w:val="style0"/>
      </w:pPr>
      <w:r>
        <w:rPr/>
        <w:t xml:space="preserve">For accessing controlled data users will need to have </w:t>
      </w:r>
      <w:hyperlink r:id="rId7">
        <w:r>
          <w:rPr>
            <w:rStyle w:val="style16"/>
          </w:rPr>
          <w:t>dbGAP</w:t>
        </w:r>
      </w:hyperlink>
      <w:r>
        <w:rPr/>
        <w:t xml:space="preserve"> Data Use Certificate.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4"/>
          <w:szCs w:val="24"/>
        </w:rPr>
        <w:t>3. System and Software Requirements</w:t>
      </w:r>
    </w:p>
    <w:p>
      <w:pPr>
        <w:pStyle w:val="style0"/>
      </w:pPr>
      <w:r>
        <w:rPr/>
        <w:t>Unix 64-bit</w:t>
      </w:r>
    </w:p>
    <w:p>
      <w:pPr>
        <w:pStyle w:val="style0"/>
      </w:pPr>
      <w:hyperlink r:id="rId8">
        <w:r>
          <w:rPr>
            <w:rStyle w:val="style16"/>
          </w:rPr>
          <w:t>Java</w:t>
        </w:r>
      </w:hyperlink>
      <w:r>
        <w:rPr/>
        <w:t xml:space="preserve"> 1.7+</w:t>
      </w:r>
    </w:p>
    <w:p>
      <w:pPr>
        <w:pStyle w:val="style0"/>
      </w:pPr>
      <w:hyperlink r:id="rId9">
        <w:r>
          <w:rPr>
            <w:rStyle w:val="style16"/>
          </w:rPr>
          <w:t>PostgreSQL</w:t>
        </w:r>
      </w:hyperlink>
      <w:r>
        <w:rPr/>
        <w:t xml:space="preserve"> </w:t>
      </w:r>
      <w:r>
        <w:rPr>
          <w:b/>
        </w:rPr>
        <w:t>OR</w:t>
      </w:r>
      <w:r>
        <w:rPr/>
        <w:t xml:space="preserve"> </w:t>
      </w:r>
      <w:hyperlink r:id="rId10">
        <w:r>
          <w:rPr>
            <w:rStyle w:val="style16"/>
          </w:rPr>
          <w:t>Virtuoso</w:t>
        </w:r>
      </w:hyperlink>
    </w:p>
    <w:p>
      <w:pPr>
        <w:pStyle w:val="style0"/>
      </w:pPr>
      <w:hyperlink r:id="rId11">
        <w:r>
          <w:rPr>
            <w:rStyle w:val="style16"/>
          </w:rPr>
          <w:t>Drupal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4"/>
          <w:szCs w:val="24"/>
        </w:rPr>
        <w:t>4. Installation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4.1 Module tcga-expedition</w:t>
      </w:r>
    </w:p>
    <w:p>
      <w:pPr>
        <w:pStyle w:val="style0"/>
      </w:pPr>
      <w:r>
        <w:rPr>
          <w:b/>
        </w:rPr>
      </w:r>
    </w:p>
    <w:p>
      <w:pPr>
        <w:pStyle w:val="style4"/>
        <w:numPr>
          <w:ilvl w:val="0"/>
          <w:numId w:val="5"/>
        </w:numPr>
        <w:spacing w:after="0" w:before="0"/>
      </w:pPr>
      <w:r>
        <w:rPr>
          <w:rFonts w:ascii="Calibri" w:cs="Helvetica" w:hAnsi="Calibri"/>
          <w:i w:val="false"/>
          <w:color w:val="333333"/>
        </w:rPr>
        <w:t>Select and install one of the supported storages:</w:t>
      </w:r>
    </w:p>
    <w:p>
      <w:pPr>
        <w:pStyle w:val="style33"/>
        <w:numPr>
          <w:ilvl w:val="0"/>
          <w:numId w:val="8"/>
        </w:numPr>
      </w:pPr>
      <w:r>
        <w:rPr>
          <w:rStyle w:val="style23"/>
          <w:rFonts w:cs="Helvetica"/>
          <w:i w:val="false"/>
          <w:color w:val="333333"/>
        </w:rPr>
        <w:t>PostgreSLQ</w:t>
      </w:r>
      <w:r>
        <w:rPr>
          <w:rFonts w:cs="Helvetica"/>
          <w:i/>
          <w:color w:val="333333"/>
        </w:rPr>
        <w:t>:</w:t>
      </w:r>
      <w:r>
        <w:rPr>
          <w:rStyle w:val="style21"/>
          <w:rFonts w:cs="Helvetica"/>
          <w:i/>
          <w:color w:val="333333"/>
        </w:rPr>
        <w:t> </w:t>
      </w:r>
      <w:hyperlink r:id="rId12">
        <w:r>
          <w:rPr>
            <w:rStyle w:val="style16"/>
            <w:rFonts w:cs="Helvetica"/>
            <w:i/>
            <w:color w:val="4078C0"/>
            <w:sz w:val="20"/>
            <w:szCs w:val="20"/>
          </w:rPr>
          <w:t>http://www.postgresql.org/download/</w:t>
        </w:r>
      </w:hyperlink>
    </w:p>
    <w:p>
      <w:pPr>
        <w:pStyle w:val="style33"/>
        <w:numPr>
          <w:ilvl w:val="0"/>
          <w:numId w:val="8"/>
        </w:numPr>
      </w:pPr>
      <w:r>
        <w:rPr>
          <w:rStyle w:val="style23"/>
          <w:rFonts w:cs="Helvetica"/>
          <w:i w:val="false"/>
          <w:color w:val="333333"/>
        </w:rPr>
        <w:t>Virtuoso</w:t>
      </w:r>
      <w:r>
        <w:rPr>
          <w:rFonts w:cs="Helvetica"/>
          <w:i/>
          <w:color w:val="333333"/>
          <w:sz w:val="20"/>
          <w:szCs w:val="20"/>
        </w:rPr>
        <w:t>:</w:t>
      </w:r>
      <w:r>
        <w:rPr>
          <w:rStyle w:val="style21"/>
          <w:rFonts w:cs="Helvetica"/>
          <w:i/>
          <w:color w:val="333333"/>
          <w:sz w:val="20"/>
          <w:szCs w:val="20"/>
        </w:rPr>
        <w:t> </w:t>
      </w:r>
      <w:hyperlink r:id="rId13">
        <w:r>
          <w:rPr>
            <w:rStyle w:val="style16"/>
            <w:rFonts w:cs="Helvetica"/>
            <w:i/>
            <w:color w:val="4078C0"/>
            <w:sz w:val="20"/>
            <w:szCs w:val="20"/>
          </w:rPr>
          <w:t>http://virtuoso.openlinksw.com/dataspace/doc/dav/wiki/Main/VOSDownload</w:t>
        </w:r>
      </w:hyperlink>
    </w:p>
    <w:p>
      <w:pPr>
        <w:pStyle w:val="style35"/>
        <w:spacing w:after="28" w:before="28"/>
      </w:pPr>
      <w:r>
        <w:rPr>
          <w:rFonts w:ascii="Calibri" w:cs="Helvetica" w:hAnsi="Calibri"/>
          <w:b/>
          <w:bCs/>
          <w:color w:val="333333"/>
          <w:sz w:val="22"/>
          <w:szCs w:val="22"/>
        </w:rPr>
        <w:t>NOTE:</w:t>
      </w:r>
      <w:r>
        <w:rPr>
          <w:rStyle w:val="style21"/>
          <w:rFonts w:ascii="Calibri" w:cs="Helvetica" w:hAnsi="Calibri"/>
          <w:color w:val="333333"/>
          <w:sz w:val="22"/>
          <w:szCs w:val="22"/>
        </w:rPr>
        <w:t> </w:t>
      </w:r>
      <w:r>
        <w:rPr>
          <w:rFonts w:ascii="Calibri" w:cs="Helvetica" w:hAnsi="Calibri"/>
          <w:color w:val="333333"/>
          <w:sz w:val="22"/>
          <w:szCs w:val="22"/>
        </w:rPr>
        <w:t>We recommend to use PostgreSQL - it's much faster than RDF store.</w:t>
      </w:r>
    </w:p>
    <w:p>
      <w:pPr>
        <w:pStyle w:val="style4"/>
        <w:numPr>
          <w:ilvl w:val="0"/>
          <w:numId w:val="5"/>
        </w:numPr>
        <w:spacing w:after="0" w:before="240"/>
      </w:pPr>
      <w:r>
        <w:rPr>
          <w:rFonts w:ascii="Calibri" w:cs="Helvetica" w:hAnsi="Calibri"/>
          <w:i w:val="false"/>
          <w:color w:val="333333"/>
        </w:rPr>
        <w:t>Configure</w:t>
      </w:r>
    </w:p>
    <w:p>
      <w:pPr>
        <w:pStyle w:val="style35"/>
        <w:spacing w:after="28" w:before="28" w:line="213" w:lineRule="atLeast"/>
      </w:pPr>
      <w:r>
        <w:rPr>
          <w:rFonts w:ascii="Calibri" w:cs="Helvetica" w:hAnsi="Calibri"/>
          <w:color w:val="333333"/>
          <w:sz w:val="22"/>
          <w:szCs w:val="22"/>
        </w:rPr>
        <w:tab/>
        <w:t>Set parameters in resources/tcgaexpedition.conf file.</w:t>
      </w:r>
    </w:p>
    <w:p>
      <w:pPr>
        <w:pStyle w:val="style35"/>
        <w:spacing w:after="28" w:before="28" w:line="213" w:lineRule="atLeast"/>
      </w:pPr>
      <w:r>
        <w:rPr>
          <w:rFonts w:ascii="Calibri" w:cs="Helvetica" w:hAnsi="Calibri"/>
          <w:color w:val="333333"/>
          <w:sz w:val="22"/>
          <w:szCs w:val="22"/>
        </w:rPr>
      </w:r>
    </w:p>
    <w:p>
      <w:pPr>
        <w:pStyle w:val="style35"/>
        <w:spacing w:after="28" w:before="28"/>
      </w:pPr>
      <w:r>
        <w:rPr>
          <w:rFonts w:ascii="Calibri" w:cs="Helvetica" w:hAnsi="Calibri"/>
          <w:color w:val="333333"/>
          <w:sz w:val="22"/>
          <w:szCs w:val="22"/>
        </w:rPr>
        <w:tab/>
      </w:r>
      <w:r>
        <w:rPr>
          <w:rFonts w:ascii="Calibri" w:cs="Helvetica" w:hAnsi="Calibri"/>
          <w:color w:val="333333"/>
          <w:sz w:val="22"/>
          <w:szCs w:val="22"/>
          <w:u w:val="single"/>
        </w:rPr>
        <w:t>Required</w:t>
      </w:r>
      <w:r>
        <w:rPr>
          <w:rFonts w:ascii="Calibri" w:cs="Helvetica" w:hAnsi="Calibri"/>
          <w:color w:val="333333"/>
          <w:sz w:val="22"/>
          <w:szCs w:val="22"/>
        </w:rPr>
        <w:t>:</w:t>
      </w:r>
    </w:p>
    <w:p>
      <w:pPr>
        <w:pStyle w:val="style35"/>
        <w:numPr>
          <w:ilvl w:val="0"/>
          <w:numId w:val="7"/>
        </w:numPr>
        <w:spacing w:after="28" w:before="28"/>
      </w:pPr>
      <w:r>
        <w:rPr>
          <w:rFonts w:ascii="Calibri" w:cs="Helvetica" w:hAnsi="Calibri"/>
          <w:iCs/>
          <w:color w:val="333333"/>
          <w:sz w:val="22"/>
          <w:szCs w:val="22"/>
        </w:rPr>
        <w:t>TCGA credentials. Leave blank if download public data only.</w:t>
      </w:r>
    </w:p>
    <w:p>
      <w:pPr>
        <w:pStyle w:val="style35"/>
        <w:spacing w:after="28" w:before="28"/>
        <w:ind w:hanging="0" w:left="720" w:right="0"/>
      </w:pPr>
      <w:r>
        <w:rPr>
          <w:rStyle w:val="style23"/>
          <w:rFonts w:ascii="Calibri" w:cs="Helvetica" w:hAnsi="Calibri"/>
          <w:b/>
          <w:color w:val="333333"/>
          <w:sz w:val="22"/>
          <w:szCs w:val="22"/>
        </w:rPr>
        <w:tab/>
        <w:t>tcga.user</w:t>
      </w:r>
    </w:p>
    <w:p>
      <w:pPr>
        <w:pStyle w:val="style35"/>
        <w:spacing w:after="28" w:before="28"/>
        <w:ind w:hanging="0" w:left="720" w:right="0"/>
      </w:pPr>
      <w:r>
        <w:rPr>
          <w:rStyle w:val="style23"/>
          <w:rFonts w:ascii="Calibri" w:cs="Helvetica" w:hAnsi="Calibri"/>
          <w:b/>
          <w:color w:val="333333"/>
          <w:sz w:val="22"/>
          <w:szCs w:val="22"/>
        </w:rPr>
        <w:tab/>
        <w:t>tcga.pwd</w:t>
      </w:r>
    </w:p>
    <w:p>
      <w:pPr>
        <w:pStyle w:val="style35"/>
        <w:numPr>
          <w:ilvl w:val="0"/>
          <w:numId w:val="7"/>
        </w:numPr>
        <w:spacing w:after="28" w:before="28"/>
      </w:pPr>
      <w:r>
        <w:rPr>
          <w:rFonts w:ascii="Calibri" w:cs="Helvetica" w:hAnsi="Calibri"/>
          <w:iCs/>
          <w:color w:val="333333"/>
          <w:sz w:val="22"/>
          <w:szCs w:val="22"/>
        </w:rPr>
        <w:t>Storage selection. Uncomment 'postgres' or 'virtuoso'.</w:t>
      </w:r>
    </w:p>
    <w:p>
      <w:pPr>
        <w:pStyle w:val="style35"/>
        <w:spacing w:after="28" w:before="28" w:line="213" w:lineRule="atLeast"/>
        <w:ind w:hanging="0" w:left="720" w:right="0"/>
      </w:pPr>
      <w:r>
        <w:rPr>
          <w:rStyle w:val="style23"/>
          <w:rFonts w:ascii="Calibri" w:cs="Helvetica" w:hAnsi="Calibri"/>
          <w:b/>
          <w:color w:val="333333"/>
          <w:sz w:val="22"/>
          <w:szCs w:val="22"/>
        </w:rPr>
        <w:tab/>
        <w:t>storage.name</w:t>
      </w:r>
      <w:r>
        <w:rPr>
          <w:rFonts w:ascii="Calibri" w:cs="Helvetica" w:hAnsi="Calibri"/>
          <w:color w:val="333333"/>
          <w:sz w:val="22"/>
          <w:szCs w:val="22"/>
        </w:rPr>
        <w:t>=postgres</w:t>
      </w:r>
    </w:p>
    <w:p>
      <w:pPr>
        <w:pStyle w:val="style35"/>
        <w:spacing w:after="28" w:before="28" w:line="213" w:lineRule="atLeast"/>
        <w:ind w:hanging="0" w:left="720" w:right="0"/>
      </w:pPr>
      <w:r>
        <w:rPr>
          <w:rStyle w:val="style23"/>
          <w:rFonts w:ascii="Calibri" w:cs="Helvetica" w:hAnsi="Calibri"/>
          <w:color w:val="333333"/>
          <w:sz w:val="22"/>
          <w:szCs w:val="22"/>
        </w:rPr>
        <w:tab/>
        <w:t>#</w:t>
      </w:r>
      <w:r>
        <w:rPr>
          <w:rStyle w:val="style23"/>
          <w:rFonts w:ascii="Calibri" w:cs="Helvetica" w:hAnsi="Calibri"/>
          <w:b/>
          <w:color w:val="333333"/>
          <w:sz w:val="22"/>
          <w:szCs w:val="22"/>
        </w:rPr>
        <w:t>storage.name</w:t>
      </w:r>
      <w:r>
        <w:rPr>
          <w:rFonts w:ascii="Calibri" w:cs="Helvetica" w:hAnsi="Calibri"/>
          <w:color w:val="333333"/>
          <w:sz w:val="22"/>
          <w:szCs w:val="22"/>
        </w:rPr>
        <w:t>=virtuoso</w:t>
      </w:r>
    </w:p>
    <w:p>
      <w:pPr>
        <w:pStyle w:val="style35"/>
        <w:numPr>
          <w:ilvl w:val="0"/>
          <w:numId w:val="7"/>
        </w:numPr>
        <w:spacing w:after="28" w:before="28" w:line="213" w:lineRule="atLeast"/>
      </w:pPr>
      <w:r>
        <w:rPr>
          <w:rFonts w:ascii="Calibri" w:cs="Helvetica" w:hAnsi="Calibri"/>
          <w:iCs/>
          <w:color w:val="333333"/>
          <w:sz w:val="22"/>
          <w:szCs w:val="22"/>
        </w:rPr>
        <w:t>Set access parameters for PostgreSQL or Virtuoso.</w:t>
      </w:r>
    </w:p>
    <w:p>
      <w:pPr>
        <w:pStyle w:val="style35"/>
        <w:numPr>
          <w:ilvl w:val="0"/>
          <w:numId w:val="7"/>
        </w:numPr>
        <w:spacing w:after="28" w:before="28" w:line="213" w:lineRule="atLeast"/>
      </w:pPr>
      <w:r>
        <w:rPr>
          <w:rFonts w:ascii="Calibri" w:cs="Helvetica" w:hAnsi="Calibri"/>
          <w:iCs/>
          <w:color w:val="333333"/>
          <w:sz w:val="22"/>
          <w:szCs w:val="22"/>
        </w:rPr>
        <w:t>Set local repository location.</w:t>
      </w:r>
    </w:p>
    <w:p>
      <w:pPr>
        <w:pStyle w:val="style35"/>
        <w:spacing w:after="28" w:before="28" w:line="213" w:lineRule="atLeast"/>
        <w:ind w:hanging="0" w:left="720" w:right="0"/>
      </w:pPr>
      <w:r>
        <w:rPr>
          <w:rStyle w:val="style23"/>
          <w:rFonts w:ascii="Calibri" w:cs="Helvetica" w:hAnsi="Calibri"/>
          <w:b/>
          <w:color w:val="333333"/>
          <w:sz w:val="22"/>
          <w:szCs w:val="22"/>
        </w:rPr>
        <w:tab/>
        <w:t>repository.home</w:t>
      </w:r>
    </w:p>
    <w:p>
      <w:pPr>
        <w:pStyle w:val="style35"/>
        <w:spacing w:after="28" w:before="28" w:line="213" w:lineRule="atLeast"/>
        <w:ind w:hanging="0" w:left="720" w:right="0"/>
      </w:pPr>
      <w:r>
        <w:rPr>
          <w:rFonts w:ascii="Calibri" w:cs="Helvetica" w:hAnsi="Calibri"/>
          <w:iCs/>
          <w:color w:val="333333"/>
          <w:sz w:val="22"/>
          <w:szCs w:val="22"/>
        </w:rPr>
      </w:r>
    </w:p>
    <w:p>
      <w:pPr>
        <w:pStyle w:val="style35"/>
        <w:spacing w:after="28" w:before="28" w:line="213" w:lineRule="atLeast"/>
      </w:pPr>
      <w:r>
        <w:rPr>
          <w:rFonts w:ascii="Calibri" w:cs="Helvetica" w:hAnsi="Calibri"/>
          <w:color w:val="333333"/>
          <w:sz w:val="22"/>
          <w:szCs w:val="22"/>
        </w:rPr>
        <w:tab/>
      </w:r>
      <w:r>
        <w:rPr>
          <w:rFonts w:ascii="Calibri" w:cs="Helvetica" w:hAnsi="Calibri"/>
          <w:color w:val="333333"/>
          <w:sz w:val="22"/>
          <w:szCs w:val="22"/>
          <w:u w:val="single"/>
        </w:rPr>
        <w:t>Optional</w:t>
      </w:r>
      <w:r>
        <w:rPr>
          <w:rFonts w:ascii="Calibri" w:cs="Helvetica" w:hAnsi="Calibri"/>
          <w:color w:val="333333"/>
          <w:sz w:val="22"/>
          <w:szCs w:val="22"/>
        </w:rPr>
        <w:t>:</w:t>
      </w:r>
    </w:p>
    <w:p>
      <w:pPr>
        <w:pStyle w:val="style35"/>
        <w:numPr>
          <w:ilvl w:val="0"/>
          <w:numId w:val="6"/>
        </w:numPr>
        <w:spacing w:after="28" w:before="28" w:line="213" w:lineRule="atLeast"/>
      </w:pPr>
      <w:r>
        <w:rPr>
          <w:rFonts w:ascii="Calibri" w:cs="Helvetica" w:hAnsi="Calibri"/>
          <w:iCs/>
          <w:color w:val="333333"/>
          <w:sz w:val="22"/>
          <w:szCs w:val="22"/>
        </w:rPr>
        <w:t>Email used to send updates to the web portal subscribers.</w:t>
      </w:r>
    </w:p>
    <w:p>
      <w:pPr>
        <w:pStyle w:val="style35"/>
        <w:numPr>
          <w:ilvl w:val="0"/>
          <w:numId w:val="6"/>
        </w:numPr>
        <w:spacing w:after="28" w:before="28" w:line="213" w:lineRule="atLeast"/>
      </w:pPr>
      <w:r>
        <w:rPr>
          <w:rFonts w:ascii="Calibri" w:cs="Helvetica" w:hAnsi="Calibri"/>
          <w:iCs/>
          <w:color w:val="333333"/>
          <w:sz w:val="22"/>
          <w:szCs w:val="22"/>
        </w:rPr>
        <w:t>Sender and receiver emails for notification about ambiguous tissue source site names.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4.2 Web Portal Module</w:t>
      </w:r>
    </w:p>
    <w:p>
      <w:pPr>
        <w:pStyle w:val="style0"/>
      </w:pPr>
      <w:r>
        <w:rPr>
          <w:b/>
        </w:rPr>
      </w:r>
    </w:p>
    <w:p>
      <w:pPr>
        <w:pStyle w:val="style33"/>
        <w:numPr>
          <w:ilvl w:val="0"/>
          <w:numId w:val="5"/>
        </w:numPr>
      </w:pPr>
      <w:r>
        <w:rPr>
          <w:b/>
        </w:rPr>
        <w:t xml:space="preserve">Download and install </w:t>
      </w:r>
      <w:hyperlink r:id="rId14">
        <w:r>
          <w:rPr>
            <w:rStyle w:val="style16"/>
            <w:rFonts w:cs="Arial"/>
            <w:b/>
            <w:color w:val="1155CC"/>
          </w:rPr>
          <w:t>ipm</w:t>
        </w:r>
      </w:hyperlink>
      <w:r>
        <w:rPr>
          <w:rStyle w:val="style21"/>
          <w:rFonts w:cs="Arial"/>
          <w:color w:val="222222"/>
        </w:rPr>
        <w:t> </w:t>
      </w:r>
      <w:r>
        <w:rPr/>
        <w:t xml:space="preserve"> - a Drupal prerequisite. Follow the installation instructions on  </w:t>
      </w:r>
      <w:hyperlink r:id="rId15">
        <w:r>
          <w:rPr>
            <w:rStyle w:val="style16"/>
          </w:rPr>
          <w:t>https://www.drupal.org/start</w:t>
        </w:r>
      </w:hyperlink>
      <w:r>
        <w:rPr/>
        <w:t>.</w:t>
      </w:r>
    </w:p>
    <w:p>
      <w:pPr>
        <w:pStyle w:val="style33"/>
        <w:numPr>
          <w:ilvl w:val="0"/>
          <w:numId w:val="5"/>
        </w:numPr>
      </w:pPr>
      <w:r>
        <w:rPr>
          <w:b/>
        </w:rPr>
        <w:t>Install</w:t>
      </w:r>
      <w:r>
        <w:rPr/>
        <w:t xml:space="preserve"> </w:t>
      </w:r>
      <w:hyperlink r:id="rId16">
        <w:r>
          <w:rPr>
            <w:rStyle w:val="style16"/>
            <w:rFonts w:cs="Arial"/>
            <w:b/>
            <w:color w:val="1155CC"/>
          </w:rPr>
          <w:t>ipm-ws</w:t>
        </w:r>
      </w:hyperlink>
    </w:p>
    <w:p>
      <w:pPr>
        <w:pStyle w:val="style33"/>
        <w:numPr>
          <w:ilvl w:val="0"/>
          <w:numId w:val="5"/>
        </w:numPr>
      </w:pPr>
      <w:r>
        <w:rPr>
          <w:b/>
        </w:rPr>
        <w:t xml:space="preserve">Configure </w:t>
      </w:r>
      <w:hyperlink r:id="rId17">
        <w:r>
          <w:rPr>
            <w:rStyle w:val="style16"/>
            <w:rFonts w:cs="Arial"/>
            <w:b/>
            <w:color w:val="1155CC"/>
          </w:rPr>
          <w:t>ipm-ws</w:t>
        </w:r>
      </w:hyperlink>
    </w:p>
    <w:p>
      <w:pPr>
        <w:pStyle w:val="style33"/>
        <w:numPr>
          <w:ilvl w:val="0"/>
          <w:numId w:val="9"/>
        </w:numPr>
      </w:pPr>
      <w:r>
        <w:rPr>
          <w:rFonts w:cs="Helvetica" w:eastAsia="Times New Roman"/>
          <w:color w:val="333333"/>
        </w:rPr>
        <w:t>Put war/ipm-ws.war on your Tomcat web server.</w:t>
      </w:r>
    </w:p>
    <w:p>
      <w:pPr>
        <w:pStyle w:val="style0"/>
        <w:numPr>
          <w:ilvl w:val="0"/>
          <w:numId w:val="9"/>
        </w:numPr>
        <w:spacing w:after="28" w:before="28" w:line="213" w:lineRule="atLeast"/>
      </w:pPr>
      <w:r>
        <w:rPr>
          <w:rFonts w:cs="Helvetica" w:eastAsia="Times New Roman"/>
          <w:color w:val="333333"/>
        </w:rPr>
        <w:t>Set </w:t>
      </w:r>
      <w:r>
        <w:rPr>
          <w:rFonts w:cs="Helvetica" w:eastAsia="Times New Roman"/>
          <w:b/>
          <w:bCs/>
          <w:i/>
          <w:iCs/>
          <w:color w:val="333333"/>
        </w:rPr>
        <w:t>useVitOrPostgre</w:t>
      </w:r>
      <w:r>
        <w:rPr>
          <w:rFonts w:cs="Helvetica" w:eastAsia="Times New Roman"/>
          <w:color w:val="333333"/>
        </w:rPr>
        <w:t> parameter in resources/jQueryPostgres.conf.</w:t>
      </w:r>
    </w:p>
    <w:p>
      <w:pPr>
        <w:pStyle w:val="style0"/>
        <w:numPr>
          <w:ilvl w:val="0"/>
          <w:numId w:val="9"/>
        </w:numPr>
        <w:spacing w:after="28" w:before="28" w:line="213" w:lineRule="atLeast"/>
      </w:pPr>
      <w:r>
        <w:rPr>
          <w:rFonts w:cs="Helvetica" w:eastAsia="Times New Roman"/>
          <w:color w:val="333333"/>
        </w:rPr>
        <w:t>Set connection parameters in </w:t>
      </w:r>
      <w:r>
        <w:rPr>
          <w:rFonts w:cs="Helvetica" w:eastAsia="Times New Roman"/>
          <w:i/>
          <w:iCs/>
          <w:color w:val="333333"/>
        </w:rPr>
        <w:t>jQueryPostgres.conf</w:t>
      </w:r>
      <w:r>
        <w:rPr>
          <w:rFonts w:cs="Helvetica" w:eastAsia="Times New Roman"/>
          <w:color w:val="333333"/>
        </w:rPr>
        <w:t> or in </w:t>
      </w:r>
      <w:r>
        <w:rPr>
          <w:rFonts w:cs="Helvetica" w:eastAsia="Times New Roman"/>
          <w:i/>
          <w:iCs/>
          <w:color w:val="333333"/>
        </w:rPr>
        <w:t>jQueryVrt.conf</w:t>
      </w:r>
      <w:r>
        <w:rPr>
          <w:rFonts w:cs="Helvetica" w:eastAsia="Times New Roman"/>
          <w:color w:val="333333"/>
        </w:rPr>
        <w:t xml:space="preserve"> based on your  data </w:t>
      </w:r>
      <w:hyperlink r:id="rId18">
        <w:r>
          <w:rPr>
            <w:rStyle w:val="style16"/>
            <w:rFonts w:cs="Arial"/>
            <w:color w:val="1155CC"/>
          </w:rPr>
          <w:t>tcga-expedition</w:t>
        </w:r>
      </w:hyperlink>
      <w:r>
        <w:rPr>
          <w:rFonts w:cs="Helvetica" w:eastAsia="Times New Roman"/>
          <w:color w:val="333333"/>
        </w:rPr>
        <w:t xml:space="preserve"> store selection.</w:t>
      </w:r>
    </w:p>
    <w:p>
      <w:pPr>
        <w:pStyle w:val="style0"/>
        <w:numPr>
          <w:ilvl w:val="0"/>
          <w:numId w:val="9"/>
        </w:numPr>
        <w:spacing w:after="28" w:before="28" w:line="213" w:lineRule="atLeast"/>
      </w:pPr>
      <w:r>
        <w:rPr>
          <w:rFonts w:cs="Helvetica" w:eastAsia="Times New Roman"/>
          <w:color w:val="333333"/>
        </w:rPr>
        <w:t>Copy </w:t>
      </w:r>
      <w:r>
        <w:rPr>
          <w:rFonts w:cs="Helvetica" w:eastAsia="Times New Roman"/>
          <w:i/>
          <w:iCs/>
          <w:color w:val="333333"/>
        </w:rPr>
        <w:t>jQueryPostgres.conf</w:t>
      </w:r>
      <w:r>
        <w:rPr>
          <w:rFonts w:cs="Helvetica" w:eastAsia="Times New Roman"/>
          <w:color w:val="333333"/>
        </w:rPr>
        <w:t> to $CATALINA_HOME/conf directory.</w:t>
      </w:r>
    </w:p>
    <w:p>
      <w:pPr>
        <w:pStyle w:val="style0"/>
        <w:numPr>
          <w:ilvl w:val="0"/>
          <w:numId w:val="9"/>
        </w:numPr>
        <w:spacing w:after="28" w:before="28" w:line="213" w:lineRule="atLeast"/>
      </w:pPr>
      <w:r>
        <w:rPr>
          <w:rFonts w:cs="Helvetica" w:eastAsia="Times New Roman"/>
          <w:color w:val="333333"/>
        </w:rPr>
        <w:t>If you use Virtuoso, copy </w:t>
      </w:r>
      <w:r>
        <w:rPr>
          <w:rFonts w:cs="Helvetica" w:eastAsia="Times New Roman"/>
          <w:i/>
          <w:iCs/>
          <w:color w:val="333333"/>
        </w:rPr>
        <w:t>jQueryVrt.conf</w:t>
      </w:r>
      <w:r>
        <w:rPr>
          <w:rFonts w:cs="Helvetica" w:eastAsia="Times New Roman"/>
          <w:color w:val="333333"/>
        </w:rPr>
        <w:t> file must be in $CATALINA_HOME/conf directory as well.</w:t>
      </w:r>
    </w:p>
    <w:p>
      <w:pPr>
        <w:pStyle w:val="style0"/>
        <w:numPr>
          <w:ilvl w:val="0"/>
          <w:numId w:val="9"/>
        </w:numPr>
        <w:spacing w:after="28" w:before="28" w:line="213" w:lineRule="atLeast"/>
      </w:pPr>
      <w:r>
        <w:rPr>
          <w:rFonts w:cs="Helvetica" w:eastAsia="Times New Roman"/>
          <w:color w:val="333333"/>
        </w:rPr>
        <w:t>Start the Tomcat server.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4"/>
          <w:szCs w:val="24"/>
        </w:rPr>
        <w:t xml:space="preserve">5. TCGAExpedition repository 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</w:rPr>
        <w:t>5.1 Repository Structure</w:t>
      </w:r>
    </w:p>
    <w:p>
      <w:pPr>
        <w:pStyle w:val="style0"/>
      </w:pPr>
      <w:r>
        <w:rPr/>
        <w:t>Repository contains patient-centric TCGA data.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u w:val="single"/>
        </w:rPr>
        <w:t>Basic Structure (Fig. 1)</w:t>
      </w:r>
    </w:p>
    <w:p>
      <w:pPr>
        <w:pStyle w:val="style0"/>
      </w:pPr>
      <w:r>
        <w:rPr/>
        <w:t xml:space="preserve">Almost all TCGA  data are stored in the following structure. </w:t>
      </w:r>
    </w:p>
    <w:p>
      <w:pPr>
        <w:pStyle w:val="style0"/>
      </w:pPr>
      <w:r>
        <w:rPr/>
        <w:t>- &lt;top directory&gt; [</w:t>
      </w:r>
      <w:r>
        <w:rPr>
          <w:i/>
        </w:rPr>
        <w:t>repository]</w:t>
      </w:r>
    </w:p>
    <w:p>
      <w:pPr>
        <w:pStyle w:val="style0"/>
      </w:pPr>
      <w:r>
        <w:rPr/>
        <w:tab/>
        <w:t>- &lt;disease abbreviation&gt; [</w:t>
      </w:r>
      <w:r>
        <w:rPr>
          <w:i/>
        </w:rPr>
        <w:t>brca</w:t>
      </w:r>
      <w:r>
        <w:rPr/>
        <w:t>]</w:t>
      </w:r>
    </w:p>
    <w:p>
      <w:pPr>
        <w:pStyle w:val="style0"/>
      </w:pPr>
      <w:r>
        <w:rPr/>
        <w:tab/>
        <w:tab/>
        <w:t>- &lt;patient barcode&gt; [</w:t>
      </w:r>
      <w:r>
        <w:rPr>
          <w:i/>
        </w:rPr>
        <w:t>TCGA-BH-A0AY</w:t>
      </w:r>
      <w:r>
        <w:rPr/>
        <w:t>]</w:t>
      </w:r>
    </w:p>
    <w:p>
      <w:pPr>
        <w:pStyle w:val="style0"/>
      </w:pPr>
      <w:r>
        <w:rPr/>
        <w:tab/>
        <w:tab/>
        <w:t xml:space="preserve"> </w:t>
        <w:tab/>
        <w:t>- clinical</w:t>
      </w:r>
    </w:p>
    <w:p>
      <w:pPr>
        <w:pStyle w:val="style0"/>
      </w:pPr>
      <w:r>
        <w:rPr/>
        <w:tab/>
        <w:tab/>
        <w:tab/>
        <w:tab/>
        <w:t xml:space="preserve">- bio </w:t>
      </w:r>
    </w:p>
    <w:p>
      <w:pPr>
        <w:pStyle w:val="style0"/>
      </w:pPr>
      <w:r>
        <w:rPr/>
        <w:tab/>
        <w:tab/>
        <w:tab/>
        <w:t>- &lt;analysis type&gt; [</w:t>
      </w:r>
      <w:r>
        <w:rPr>
          <w:i/>
        </w:rPr>
        <w:t>protected-mutations</w:t>
      </w:r>
      <w:r>
        <w:rPr/>
        <w:t>]</w:t>
      </w:r>
    </w:p>
    <w:p>
      <w:pPr>
        <w:pStyle w:val="style0"/>
      </w:pPr>
      <w:r>
        <w:rPr/>
        <w:tab/>
        <w:tab/>
        <w:tab/>
        <w:tab/>
        <w:t>- &lt;</w:t>
      </w:r>
      <w:r>
        <w:rPr>
          <w:b/>
          <w:u w:val="single"/>
        </w:rPr>
        <w:t>analysis platform&gt;</w:t>
      </w:r>
      <w:r>
        <w:rPr/>
        <w:t xml:space="preserve">  [</w:t>
      </w:r>
      <w:r>
        <w:rPr>
          <w:i/>
        </w:rPr>
        <w:t>IlluminaGA-DNASeq-Cont</w:t>
      </w:r>
      <w:r>
        <w:rPr/>
        <w:t>]</w:t>
      </w:r>
    </w:p>
    <w:p>
      <w:pPr>
        <w:pStyle w:val="style0"/>
      </w:pPr>
      <w:r>
        <w:rPr/>
        <w:tab/>
        <w:tab/>
        <w:tab/>
        <w:t>- &lt;sample barcode&gt;  [</w:t>
      </w:r>
      <w:r>
        <w:rPr>
          <w:i/>
        </w:rPr>
        <w:t>TCGA-BH-A0AY-01</w:t>
      </w:r>
      <w:r>
        <w:rPr/>
        <w:t>]</w:t>
      </w:r>
    </w:p>
    <w:p>
      <w:pPr>
        <w:pStyle w:val="style0"/>
      </w:pPr>
      <w:r>
        <w:rPr/>
        <w:tab/>
        <w:tab/>
        <w:tab/>
        <w:tab/>
        <w:t>- &lt;analysis type&gt; [</w:t>
      </w:r>
      <w:r>
        <w:rPr>
          <w:i/>
        </w:rPr>
        <w:t>protected-mutations</w:t>
      </w:r>
      <w:r>
        <w:rPr/>
        <w:t>]</w:t>
      </w:r>
    </w:p>
    <w:p>
      <w:pPr>
        <w:pStyle w:val="style0"/>
      </w:pPr>
      <w:r>
        <w:rPr/>
        <w:tab/>
        <w:tab/>
        <w:tab/>
        <w:tab/>
        <w:tab/>
        <w:t>- &lt;</w:t>
      </w:r>
      <w:r>
        <w:rPr>
          <w:b/>
          <w:u w:val="single"/>
        </w:rPr>
        <w:t>analysis platform&gt;</w:t>
      </w:r>
      <w:r>
        <w:rPr/>
        <w:t xml:space="preserve">  [</w:t>
      </w:r>
      <w:r>
        <w:rPr>
          <w:i/>
        </w:rPr>
        <w:t>IlluminaGA-DNASeq-Cont</w:t>
      </w:r>
      <w:r>
        <w:rPr/>
        <w:t>]</w:t>
      </w:r>
    </w:p>
    <w:p>
      <w:pPr>
        <w:pStyle w:val="style0"/>
      </w:pPr>
      <w:r>
        <w:rPr/>
        <w:t>NOTES:</w:t>
      </w:r>
    </w:p>
    <w:p>
      <w:pPr>
        <w:pStyle w:val="style33"/>
        <w:numPr>
          <w:ilvl w:val="0"/>
          <w:numId w:val="2"/>
        </w:numPr>
      </w:pPr>
      <w:r>
        <w:rPr/>
        <w:t>label  in &lt;&gt; would be replaced by real name</w:t>
      </w:r>
    </w:p>
    <w:p>
      <w:pPr>
        <w:pStyle w:val="style33"/>
        <w:numPr>
          <w:ilvl w:val="0"/>
          <w:numId w:val="2"/>
        </w:numPr>
      </w:pPr>
      <w:r>
        <w:rPr/>
        <w:t>label in  [] - example name</w:t>
      </w:r>
    </w:p>
    <w:p>
      <w:pPr>
        <w:pStyle w:val="style33"/>
        <w:numPr>
          <w:ilvl w:val="0"/>
          <w:numId w:val="2"/>
        </w:numPr>
      </w:pPr>
      <w:r>
        <w:rPr>
          <w:b/>
          <w:u w:val="single"/>
        </w:rPr>
        <w:t>bio</w:t>
      </w:r>
      <w:r>
        <w:rPr/>
        <w:t xml:space="preserve">  folder contains all bio .txt files</w:t>
      </w:r>
    </w:p>
    <w:p>
      <w:pPr>
        <w:pStyle w:val="style33"/>
        <w:numPr>
          <w:ilvl w:val="0"/>
          <w:numId w:val="2"/>
        </w:numPr>
      </w:pPr>
      <w:r>
        <w:rPr>
          <w:b/>
          <w:u w:val="single"/>
        </w:rPr>
        <w:t>analysis platform</w:t>
      </w:r>
      <w:r>
        <w:rPr/>
        <w:t xml:space="preserve"> folder contains all the files for a particular  analysis without splitting them  to the data levels</w:t>
      </w:r>
    </w:p>
    <w:p>
      <w:pPr>
        <w:pStyle w:val="style33"/>
        <w:numPr>
          <w:ilvl w:val="0"/>
          <w:numId w:val="2"/>
        </w:numPr>
      </w:pPr>
      <w:r>
        <w:rPr/>
        <w:t>&lt;analysis type&gt; directory under the &lt;patient barcode&gt; contains multi-sample analysis files. In this case &lt;analysis type&gt; under &lt;sample barcode&gt; has been created but is empty.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2190115" cy="44951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Figure 1. Repository structure</w:t>
      </w:r>
    </w:p>
    <w:p>
      <w:pPr>
        <w:pStyle w:val="style0"/>
      </w:pPr>
      <w:r>
        <w:rPr>
          <w:b/>
          <w:u w:val="single"/>
        </w:rPr>
      </w:r>
    </w:p>
    <w:p>
      <w:pPr>
        <w:pStyle w:val="style0"/>
      </w:pPr>
      <w:r>
        <w:rPr>
          <w:b/>
          <w:u w:val="single"/>
        </w:rPr>
        <w:t>Exceptions</w:t>
      </w:r>
      <w:r>
        <w:rPr/>
        <w:t xml:space="preserve">: </w:t>
      </w:r>
    </w:p>
    <w:p>
      <w:pPr>
        <w:pStyle w:val="style0"/>
      </w:pPr>
      <w:r>
        <w:rPr/>
        <w:t xml:space="preserve"> </w:t>
      </w:r>
      <w:r>
        <w:rPr/>
        <w:t>- Expression_Protein level 0 data which belongs to the whole analysis sets are stored under &lt;disease&gt;</w:t>
      </w:r>
    </w:p>
    <w:p>
      <w:pPr>
        <w:pStyle w:val="style0"/>
      </w:pPr>
      <w:r>
        <w:rPr/>
        <w:t>- Data from the sources other than TCGA and cgHub are stored in &lt;top directory&gt;/other folder.</w:t>
      </w:r>
    </w:p>
    <w:p>
      <w:pPr>
        <w:pStyle w:val="style0"/>
      </w:pPr>
      <w:r>
        <w:rPr>
          <w:b/>
        </w:rPr>
        <w:tab/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5.2 File Naming Convention</w:t>
      </w:r>
    </w:p>
    <w:p>
      <w:pPr>
        <w:pStyle w:val="style0"/>
      </w:pPr>
      <w:r>
        <w:rPr/>
        <w:t>Data file name consists of 9 parts plus original file extension:</w:t>
      </w:r>
    </w:p>
    <w:p>
      <w:pPr>
        <w:pStyle w:val="style0"/>
      </w:pPr>
      <w:r>
        <w:rPr/>
        <w:t>&lt;TCGA barcode&gt;_&lt;PUBL/CTRL&gt;&lt;disease abbreviation&gt;_&lt;analysis type&gt;_&lt;platform&gt;_&lt;TCGA level&gt;_&lt;reference genome&gt;_&lt;note&gt;&lt;note number&gt;_&lt;revision&gt;.&lt;original extension&gt;</w:t>
      </w:r>
    </w:p>
    <w:p>
      <w:pPr>
        <w:pStyle w:val="style0"/>
      </w:pPr>
      <w:r>
        <w:rPr/>
      </w:r>
    </w:p>
    <w:p>
      <w:pPr>
        <w:pStyle w:val="style0"/>
      </w:pPr>
      <w:r>
        <w:rPr/>
        <w:t>For example:</w:t>
      </w:r>
    </w:p>
    <w:p>
      <w:pPr>
        <w:pStyle w:val="style0"/>
      </w:pPr>
      <w:r>
        <w:rPr>
          <w:rFonts w:ascii="Cambria" w:cs="Arial" w:eastAsia="Times New Roman" w:hAnsi="Cambria"/>
          <w:color w:val="222222"/>
          <w:sz w:val="24"/>
          <w:szCs w:val="24"/>
          <w:shd w:fill="FFFFFF" w:val="clear"/>
        </w:rPr>
        <w:t>TCGA-A1-A0SN_PUBL_brca_clin_patient_Level-2__1_V1</w:t>
      </w:r>
    </w:p>
    <w:p>
      <w:pPr>
        <w:pStyle w:val="style0"/>
      </w:pPr>
      <w:r>
        <w:rPr>
          <w:rFonts w:ascii="Cambria" w:cs="Arial" w:eastAsia="Times New Roman" w:hAnsi="Cambria"/>
          <w:color w:val="222222"/>
          <w:sz w:val="24"/>
          <w:szCs w:val="24"/>
        </w:rPr>
        <w:t>TCGA-A1-A0SN-01A-11D-A145-05_PUBL_brca_jhu-usc.edu_humanmethylation450_Level-1_hg19_grn1_V1</w:t>
      </w:r>
    </w:p>
    <w:p>
      <w:pPr>
        <w:pStyle w:val="style0"/>
      </w:pPr>
      <w:r>
        <w:rPr/>
      </w:r>
    </w:p>
    <w:p>
      <w:pPr>
        <w:pStyle w:val="style0"/>
      </w:pPr>
      <w:r>
        <w:rPr/>
        <w:t>NOTES:</w:t>
      </w:r>
    </w:p>
    <w:p>
      <w:pPr>
        <w:pStyle w:val="style33"/>
        <w:numPr>
          <w:ilvl w:val="0"/>
          <w:numId w:val="3"/>
        </w:numPr>
      </w:pPr>
      <w:r>
        <w:rPr/>
        <w:t>&lt;TCGA barcode&gt; in the name  includes as many  fields as could be found for this analysis, up to full aliquot (</w:t>
      </w:r>
      <w:r>
        <w:rPr>
          <w:i/>
        </w:rPr>
        <w:t>https://wiki.nci.nih.gov/display/TCGA/TCGA+barcode</w:t>
      </w:r>
      <w:r>
        <w:rPr/>
        <w:t>)</w:t>
      </w:r>
    </w:p>
    <w:p>
      <w:pPr>
        <w:pStyle w:val="style33"/>
        <w:numPr>
          <w:ilvl w:val="0"/>
          <w:numId w:val="3"/>
        </w:numPr>
      </w:pPr>
      <w:r>
        <w:rPr/>
        <w:t>&lt;revision&gt;  = "v"+number -  is purely TCGAExpedition revision version</w:t>
      </w:r>
    </w:p>
    <w:p>
      <w:pPr>
        <w:pStyle w:val="style33"/>
        <w:numPr>
          <w:ilvl w:val="0"/>
          <w:numId w:val="3"/>
        </w:numPr>
      </w:pPr>
      <w:r>
        <w:rPr/>
        <w:t>&lt;revision&gt;  would  be updated if and only if the original TCGA file is modified</w:t>
      </w:r>
    </w:p>
    <w:p>
      <w:pPr>
        <w:pStyle w:val="style33"/>
        <w:numPr>
          <w:ilvl w:val="0"/>
          <w:numId w:val="3"/>
        </w:numPr>
      </w:pPr>
      <w:r>
        <w:rPr/>
        <w:t>&lt;note&gt; - used only if need to differentiate multiple files from the same analysis (</w:t>
      </w:r>
      <w:r>
        <w:rPr>
          <w:i/>
        </w:rPr>
        <w:t>'red' or 'grn' note for DNA_Methylation</w:t>
      </w:r>
      <w:r>
        <w:rPr/>
        <w:t>)</w:t>
      </w:r>
    </w:p>
    <w:p>
      <w:pPr>
        <w:pStyle w:val="style33"/>
        <w:numPr>
          <w:ilvl w:val="0"/>
          <w:numId w:val="3"/>
        </w:numPr>
      </w:pPr>
      <w:r>
        <w:rPr/>
        <w:t>&lt;note number&gt; - default is "1"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  <w:pBdr>
          <w:bottom w:color="EEEEEE" w:space="0" w:sz="4" w:val="single"/>
        </w:pBdr>
        <w:spacing w:after="160" w:before="240"/>
      </w:pPr>
      <w:r>
        <w:rPr>
          <w:rFonts w:cs="Times New Roman" w:eastAsia="Times New Roman"/>
          <w:b/>
          <w:bCs/>
          <w:color w:val="333333"/>
        </w:rPr>
        <w:t>5.3. How to Run</w:t>
      </w:r>
    </w:p>
    <w:p>
      <w:pPr>
        <w:pStyle w:val="style0"/>
        <w:shd w:fill="F7F7F7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rFonts w:ascii="Consolas" w:cs="Consolas" w:eastAsia="Times New Roman" w:hAnsi="Consolas"/>
          <w:color w:val="333333"/>
          <w:sz w:val="16"/>
          <w:szCs w:val="16"/>
        </w:rPr>
        <w:t>Usage: java -jar tcgaExpedition-&lt;vx.x.x&gt;.jar --diseaseList &lt;list&gt; --analysistype &lt;string&gt; --accesstype &lt;string&gt;</w:t>
      </w:r>
    </w:p>
    <w:p>
      <w:pPr>
        <w:pStyle w:val="style0"/>
        <w:shd w:fill="F7F7F7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rFonts w:ascii="Consolas" w:cs="Consolas" w:eastAsia="Times New Roman" w:hAnsi="Consolas"/>
          <w:color w:val="333333"/>
          <w:sz w:val="16"/>
          <w:szCs w:val="16"/>
        </w:rPr>
        <w:t>================================================================================</w:t>
      </w:r>
    </w:p>
    <w:p>
      <w:pPr>
        <w:pStyle w:val="style0"/>
        <w:shd w:fill="F7F7F7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rFonts w:ascii="Consolas" w:cs="Consolas" w:eastAsia="Times New Roman" w:hAnsi="Consolas"/>
          <w:color w:val="333333"/>
          <w:sz w:val="16"/>
          <w:szCs w:val="16"/>
        </w:rPr>
        <w:t>--diseaseList           Comma separated list of disease abbreviations. Use ALL for the whole data set.</w:t>
      </w:r>
    </w:p>
    <w:p>
      <w:pPr>
        <w:pStyle w:val="style0"/>
        <w:shd w:fill="F7F7F7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rFonts w:ascii="Consolas" w:cs="Consolas" w:eastAsia="Times New Roman" w:hAnsi="Consolas"/>
          <w:color w:val="333333"/>
          <w:sz w:val="16"/>
          <w:szCs w:val="16"/>
        </w:rPr>
        <w:t>--analysistype          See table below for available analysis types based on the data source.</w:t>
      </w:r>
    </w:p>
    <w:p>
      <w:pPr>
        <w:pStyle w:val="style0"/>
        <w:shd w:fill="F7F7F7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rFonts w:ascii="Consolas" w:cs="Consolas" w:eastAsia="Times New Roman" w:hAnsi="Consolas"/>
          <w:color w:val="333333"/>
          <w:sz w:val="16"/>
          <w:szCs w:val="16"/>
        </w:rPr>
        <w:t>--accesstype        Use public or controlled. Access type depends on analysis type ans data level. See table below.</w:t>
      </w:r>
    </w:p>
    <w:p>
      <w:pPr>
        <w:pStyle w:val="style0"/>
        <w:spacing w:after="160" w:before="0" w:line="233" w:lineRule="atLeast"/>
      </w:pPr>
      <w:r>
        <w:rPr>
          <w:rFonts w:ascii="Helvetica" w:cs="Times New Roman" w:eastAsia="Times New Roman" w:hAnsi="Helvetica"/>
          <w:b/>
          <w:bCs/>
          <w:color w:val="333333"/>
          <w:sz w:val="16"/>
          <w:szCs w:val="16"/>
        </w:rPr>
      </w:r>
    </w:p>
    <w:p>
      <w:pPr>
        <w:pStyle w:val="style0"/>
        <w:spacing w:after="160" w:before="0" w:line="233" w:lineRule="atLeast"/>
      </w:pPr>
      <w:r>
        <w:rPr>
          <w:rFonts w:ascii="Helvetica" w:cs="Times New Roman" w:eastAsia="Times New Roman" w:hAnsi="Helvetica"/>
          <w:b/>
          <w:bCs/>
          <w:color w:val="333333"/>
          <w:sz w:val="16"/>
          <w:szCs w:val="16"/>
        </w:rPr>
        <w:t>Example</w:t>
      </w:r>
    </w:p>
    <w:p>
      <w:pPr>
        <w:pStyle w:val="style0"/>
        <w:spacing w:after="160" w:before="0" w:line="233" w:lineRule="atLeast"/>
      </w:pPr>
      <w:r>
        <w:rPr>
          <w:rFonts w:ascii="Helvetica" w:cs="Times New Roman" w:eastAsia="Times New Roman" w:hAnsi="Helvetica"/>
          <w:color w:val="333333"/>
          <w:sz w:val="16"/>
          <w:szCs w:val="16"/>
        </w:rPr>
        <w:t>Download Clinical data for acc:</w:t>
      </w:r>
    </w:p>
    <w:p>
      <w:pPr>
        <w:pStyle w:val="style0"/>
        <w:shd w:fill="F7F7F7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</w:pPr>
      <w:r>
        <w:rPr>
          <w:rFonts w:ascii="Consolas" w:cs="Consolas" w:eastAsia="Times New Roman" w:hAnsi="Consolas"/>
          <w:color w:val="333333"/>
          <w:sz w:val="14"/>
          <w:szCs w:val="14"/>
        </w:rPr>
        <w:t>java -jar tcgaExpedition-</w:t>
      </w:r>
      <w:r>
        <w:rPr>
          <w:rFonts w:ascii="Consolas" w:cs="Consolas" w:eastAsia="Times New Roman" w:hAnsi="Consolas"/>
          <w:color w:val="A71D5D"/>
          <w:sz w:val="14"/>
        </w:rPr>
        <w:t>&lt;</w:t>
      </w:r>
      <w:r>
        <w:rPr>
          <w:rFonts w:ascii="Consolas" w:cs="Consolas" w:eastAsia="Times New Roman" w:hAnsi="Consolas"/>
          <w:color w:val="333333"/>
          <w:sz w:val="14"/>
          <w:szCs w:val="14"/>
        </w:rPr>
        <w:t>vx.x.x</w:t>
      </w:r>
      <w:r>
        <w:rPr>
          <w:rFonts w:ascii="Consolas" w:cs="Consolas" w:eastAsia="Times New Roman" w:hAnsi="Consolas"/>
          <w:color w:val="A71D5D"/>
          <w:sz w:val="14"/>
        </w:rPr>
        <w:t>&gt;</w:t>
      </w:r>
      <w:r>
        <w:rPr>
          <w:rFonts w:ascii="Consolas" w:cs="Consolas" w:eastAsia="Times New Roman" w:hAnsi="Consolas"/>
          <w:color w:val="333333"/>
          <w:sz w:val="14"/>
          <w:szCs w:val="14"/>
        </w:rPr>
        <w:t>.jar brca clinical public</w:t>
      </w:r>
    </w:p>
    <w:p>
      <w:pPr>
        <w:pStyle w:val="style0"/>
        <w:pBdr>
          <w:bottom w:color="EEEEEE" w:space="0" w:sz="4" w:val="single"/>
        </w:pBdr>
        <w:spacing w:after="160" w:before="240"/>
      </w:pPr>
      <w:r>
        <w:rPr>
          <w:rFonts w:cs="Times New Roman" w:eastAsia="Times New Roman"/>
          <w:b/>
          <w:bCs/>
          <w:color w:val="333333"/>
        </w:rPr>
      </w:r>
    </w:p>
    <w:p>
      <w:pPr>
        <w:pStyle w:val="style0"/>
        <w:pBdr>
          <w:bottom w:color="EEEEEE" w:space="0" w:sz="4" w:val="single"/>
        </w:pBdr>
        <w:spacing w:after="160" w:before="240"/>
      </w:pPr>
      <w:r>
        <w:rPr>
          <w:rFonts w:cs="Times New Roman" w:eastAsia="Times New Roman"/>
          <w:b/>
          <w:bCs/>
          <w:color w:val="333333"/>
        </w:rPr>
        <w:t>5.4. Available Analysis / Access Types</w:t>
      </w:r>
    </w:p>
    <w:tbl>
      <w:tblPr>
        <w:jc w:val="left"/>
        <w:tblInd w:type="dxa" w:w="-15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</w:tblBorders>
      </w:tblPr>
      <w:tblGrid>
        <w:gridCol w:w="1983"/>
        <w:gridCol w:w="3745"/>
        <w:gridCol w:w="1882"/>
        <w:gridCol w:w="1271"/>
      </w:tblGrid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b/>
                <w:bCs/>
                <w:color w:val="333333"/>
                <w:sz w:val="20"/>
                <w:szCs w:val="20"/>
              </w:rPr>
              <w:t>DataSource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b/>
                <w:bCs/>
                <w:color w:val="333333"/>
                <w:sz w:val="20"/>
                <w:szCs w:val="20"/>
              </w:rPr>
              <w:t>AnalysisType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b/>
                <w:bCs/>
                <w:color w:val="333333"/>
                <w:sz w:val="20"/>
                <w:szCs w:val="20"/>
              </w:rPr>
              <w:t>AccessType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333333"/>
                <w:sz w:val="20"/>
                <w:szCs w:val="20"/>
              </w:rPr>
              <w:t>Level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clinical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2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cnv_(cn_array)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1,2,3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cnv_(snp_array)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1,2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cnv_(snp_array)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3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cnv_(low_pass_dnaseq)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2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cnv_(low_pass_dnaseq)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3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dna_methylation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1,2,3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expression_gene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1,2,3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expression_protein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0,1,2,3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fragment_analysis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images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mirnaseq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3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protected_mutations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2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protected_mutations_maf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2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rnaseq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2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rnaseq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3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rnaseqv2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3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somatic_mutations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2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Firehose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CN_Level4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4</w:t>
            </w:r>
          </w:p>
        </w:tc>
      </w:tr>
      <w:tr>
        <w:trPr>
          <w:trHeight w:hRule="atLeast" w:val="16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Georgetown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mass_spectrometry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4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cgHub*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bisulfite-seq_(cghub)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cgHub*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mirna-seq_(cghub)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cgHub*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rna-seq_(cghub)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cgHub*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validation_(cghub)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cgHub*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wgs_(cghub)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8F8F8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1983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cgHub*</w:t>
            </w:r>
          </w:p>
        </w:tc>
        <w:tc>
          <w:tcPr>
            <w:tcW w:type="dxa" w:w="3745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wxs_(cghub)</w:t>
            </w:r>
          </w:p>
        </w:tc>
        <w:tc>
          <w:tcPr>
            <w:tcW w:type="dxa" w:w="1882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type="dxa" w:w="1271"/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160" w:before="0" w:line="233" w:lineRule="atLeast"/>
              <w:jc w:val="center"/>
            </w:pPr>
            <w:r>
              <w:rPr>
                <w:rFonts w:cs="Times New Roman" w:eastAsia="Times New Roman"/>
                <w:color w:val="333333"/>
                <w:sz w:val="20"/>
                <w:szCs w:val="20"/>
              </w:rPr>
              <w:t>1</w:t>
            </w:r>
          </w:p>
        </w:tc>
      </w:tr>
    </w:tbl>
    <w:p>
      <w:pPr>
        <w:pStyle w:val="style0"/>
        <w:spacing w:after="28" w:before="28" w:line="233" w:lineRule="atLeast"/>
        <w:ind w:hanging="0" w:left="720" w:right="0"/>
      </w:pPr>
      <w:r>
        <w:rPr>
          <w:rFonts w:cs="Times New Roman" w:eastAsia="Times New Roman"/>
          <w:color w:val="333333"/>
          <w:sz w:val="20"/>
          <w:szCs w:val="20"/>
        </w:rPr>
        <w:t>* - coming soon</w:t>
      </w:r>
    </w:p>
    <w:p>
      <w:pPr>
        <w:pStyle w:val="style0"/>
      </w:pPr>
      <w:r>
        <w:rPr>
          <w:b/>
          <w:sz w:val="24"/>
          <w:szCs w:val="24"/>
        </w:rPr>
        <w:t>6.  Web Portal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</w:rPr>
        <w:t>6.1 Search Repository</w:t>
      </w:r>
    </w:p>
    <w:p>
      <w:pPr>
        <w:pStyle w:val="style0"/>
      </w:pPr>
      <w:r>
        <w:rPr/>
        <w:t xml:space="preserve">The web interface for identifying files of interest contains multiple filters (Fig. 2). It also provides a way to download the metadata information about the selected files as a table in csv or tsv format. </w:t>
      </w:r>
    </w:p>
    <w:p>
      <w:pPr>
        <w:pStyle w:val="style0"/>
      </w:pPr>
      <w:r>
        <w:rPr/>
        <w:drawing>
          <wp:inline distB="0" distL="0" distR="0" distT="0">
            <wp:extent cx="5842635" cy="49288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92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Figure 2. Search repository interface.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6.2 Data notification request</w:t>
      </w:r>
    </w:p>
    <w:p>
      <w:pPr>
        <w:pStyle w:val="style0"/>
      </w:pPr>
      <w:r>
        <w:rPr/>
        <w:t xml:space="preserve">The investigators can request to be notified by email of selected data changes (added or updated) (Fig. 3).   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943600" cy="33121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Figure 3. Notification request page.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5">
    <w:lvl w:ilvl="0">
      <w:start w:val="1"/>
      <w:numFmt w:val="bullet"/>
      <w:lvlText w:val=""/>
      <w:lvlJc w:val="left"/>
      <w:pPr>
        <w:ind w:hanging="360" w:left="795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3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5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9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11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55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53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25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97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9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41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13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85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57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9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151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23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95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7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9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11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83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55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75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9"/>
    <w:pPr>
      <w:spacing w:after="28" w:before="28"/>
    </w:pPr>
    <w:rPr>
      <w:rFonts w:ascii="Times New Roman" w:cs="Times New Roman" w:eastAsia="Times New Roman" w:hAnsi="Times New Roman"/>
      <w:b/>
      <w:bCs/>
      <w:sz w:val="48"/>
      <w:szCs w:val="48"/>
    </w:rPr>
  </w:style>
  <w:style w:styleId="style4" w:type="paragraph">
    <w:name w:val="Heading 4"/>
    <w:basedOn w:val="style0"/>
    <w:next w:val="style29"/>
    <w:pPr>
      <w:keepNext/>
      <w:keepLines/>
      <w:numPr>
        <w:ilvl w:val="3"/>
        <w:numId w:val="1"/>
      </w:numPr>
      <w:spacing w:after="0" w:before="200"/>
      <w:outlineLvl w:val="3"/>
    </w:pPr>
    <w:rPr>
      <w:rFonts w:ascii="Cambria" w:cs="" w:hAnsi="Cambria"/>
      <w:b/>
      <w:bCs/>
      <w:i/>
      <w:i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Heading 1 Char"/>
    <w:basedOn w:val="style15"/>
    <w:next w:val="style17"/>
    <w:rPr>
      <w:rFonts w:ascii="Times New Roman" w:cs="Times New Roman" w:eastAsia="Times New Roman" w:hAnsi="Times New Roman"/>
      <w:b/>
      <w:bCs/>
      <w:sz w:val="48"/>
      <w:szCs w:val="48"/>
    </w:rPr>
  </w:style>
  <w:style w:styleId="style18" w:type="character">
    <w:name w:val="HTML Preformatted Char"/>
    <w:basedOn w:val="style15"/>
    <w:next w:val="style18"/>
    <w:rPr>
      <w:rFonts w:ascii="Courier New" w:cs="Courier New" w:eastAsia="Times New Roman" w:hAnsi="Courier New"/>
      <w:sz w:val="20"/>
      <w:szCs w:val="20"/>
    </w:rPr>
  </w:style>
  <w:style w:styleId="style19" w:type="character">
    <w:name w:val="HTML Code"/>
    <w:basedOn w:val="style15"/>
    <w:next w:val="style19"/>
    <w:rPr>
      <w:rFonts w:ascii="Courier New" w:cs="Courier New" w:eastAsia="Times New Roman" w:hAnsi="Courier New"/>
      <w:sz w:val="20"/>
      <w:szCs w:val="20"/>
    </w:rPr>
  </w:style>
  <w:style w:styleId="style20" w:type="character">
    <w:name w:val="pl-k"/>
    <w:basedOn w:val="style15"/>
    <w:next w:val="style20"/>
    <w:rPr/>
  </w:style>
  <w:style w:styleId="style21" w:type="character">
    <w:name w:val="apple-converted-space"/>
    <w:basedOn w:val="style15"/>
    <w:next w:val="style21"/>
    <w:rPr/>
  </w:style>
  <w:style w:styleId="style22" w:type="character">
    <w:name w:val="Heading 4 Char"/>
    <w:basedOn w:val="style15"/>
    <w:next w:val="style22"/>
    <w:rPr>
      <w:rFonts w:ascii="Cambria" w:cs="" w:hAnsi="Cambria"/>
      <w:b/>
      <w:bCs/>
      <w:i/>
      <w:iCs/>
      <w:color w:val="4F81BD"/>
    </w:rPr>
  </w:style>
  <w:style w:styleId="style23" w:type="character">
    <w:name w:val="Emphasis"/>
    <w:basedOn w:val="style15"/>
    <w:next w:val="style23"/>
    <w:rPr>
      <w:i/>
      <w:iCs/>
    </w:rPr>
  </w:style>
  <w:style w:styleId="style24" w:type="character">
    <w:name w:val="Strong Emphasis"/>
    <w:basedOn w:val="style15"/>
    <w:next w:val="style24"/>
    <w:rPr>
      <w:b/>
      <w:bCs/>
    </w:rPr>
  </w:style>
  <w:style w:styleId="style25" w:type="character">
    <w:name w:val="Balloon Text Char"/>
    <w:basedOn w:val="style15"/>
    <w:next w:val="style25"/>
    <w:rPr>
      <w:rFonts w:ascii="Tahoma" w:cs="Tahoma" w:hAnsi="Tahoma"/>
      <w:sz w:val="16"/>
      <w:szCs w:val="16"/>
    </w:rPr>
  </w:style>
  <w:style w:styleId="style26" w:type="character">
    <w:name w:val="ListLabel 1"/>
    <w:next w:val="style26"/>
    <w:rPr>
      <w:rFonts w:cs="Courier New"/>
    </w:rPr>
  </w:style>
  <w:style w:styleId="style27" w:type="character">
    <w:name w:val="ListLabel 2"/>
    <w:next w:val="style27"/>
    <w:rPr>
      <w:sz w:val="20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  <w:style w:styleId="style34" w:type="paragraph">
    <w:name w:val="HTML Preformatted"/>
    <w:basedOn w:val="style0"/>
    <w:next w:val="style34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</w:pPr>
    <w:rPr>
      <w:rFonts w:ascii="Courier New" w:cs="Courier New" w:eastAsia="Times New Roman" w:hAnsi="Courier New"/>
      <w:sz w:val="20"/>
      <w:szCs w:val="20"/>
    </w:rPr>
  </w:style>
  <w:style w:styleId="style35" w:type="paragraph">
    <w:name w:val="Normal (Web)"/>
    <w:basedOn w:val="style0"/>
    <w:next w:val="style35"/>
    <w:pPr>
      <w:spacing w:after="28" w:before="28"/>
    </w:pPr>
    <w:rPr>
      <w:rFonts w:ascii="Times New Roman" w:cs="Times New Roman" w:eastAsia="Times New Roman" w:hAnsi="Times New Roman"/>
      <w:sz w:val="24"/>
      <w:szCs w:val="24"/>
    </w:rPr>
  </w:style>
  <w:style w:styleId="style36" w:type="paragraph">
    <w:name w:val="Balloon Text"/>
    <w:basedOn w:val="style0"/>
    <w:next w:val="style36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CGAExpedition/tcga-expedition" TargetMode="External"/><Relationship Id="rId3" Type="http://schemas.openxmlformats.org/officeDocument/2006/relationships/hyperlink" Target="https://github.com/TCGAExpedition/ipm" TargetMode="External"/><Relationship Id="rId4" Type="http://schemas.openxmlformats.org/officeDocument/2006/relationships/hyperlink" Target="https://github.com/TCGAExpedition/ipm-ws" TargetMode="External"/><Relationship Id="rId5" Type="http://schemas.openxmlformats.org/officeDocument/2006/relationships/hyperlink" Target="https://github.com/TCGAExpedition/tcga-expedition" TargetMode="External"/><Relationship Id="rId6" Type="http://schemas.openxmlformats.org/officeDocument/2006/relationships/hyperlink" Target="https://youtu.be/bpcQiBNf8Fc" TargetMode="External"/><Relationship Id="rId7" Type="http://schemas.openxmlformats.org/officeDocument/2006/relationships/hyperlink" Target="http://www.ncbi.nlm.nih.gov/gap" TargetMode="External"/><Relationship Id="rId8" Type="http://schemas.openxmlformats.org/officeDocument/2006/relationships/hyperlink" Target="https://java.com/en/download/" TargetMode="External"/><Relationship Id="rId9" Type="http://schemas.openxmlformats.org/officeDocument/2006/relationships/hyperlink" Target="http://www.postgresql.org/download/" TargetMode="External"/><Relationship Id="rId10" Type="http://schemas.openxmlformats.org/officeDocument/2006/relationships/hyperlink" Target="http://virtuoso.openlinksw.com/download/" TargetMode="External"/><Relationship Id="rId11" Type="http://schemas.openxmlformats.org/officeDocument/2006/relationships/hyperlink" Target="https://www.drupal.org/download" TargetMode="External"/><Relationship Id="rId12" Type="http://schemas.openxmlformats.org/officeDocument/2006/relationships/hyperlink" Target="http://www.postgresql.org/download/" TargetMode="External"/><Relationship Id="rId13" Type="http://schemas.openxmlformats.org/officeDocument/2006/relationships/hyperlink" Target="http://virtuoso.openlinksw.com/dataspace/doc/dav/wiki/Main/VOSDownload" TargetMode="External"/><Relationship Id="rId14" Type="http://schemas.openxmlformats.org/officeDocument/2006/relationships/hyperlink" Target="https://github.com/TCGAExpedition/ipm" TargetMode="External"/><Relationship Id="rId15" Type="http://schemas.openxmlformats.org/officeDocument/2006/relationships/hyperlink" Target="https://www.drupal.org/start" TargetMode="External"/><Relationship Id="rId16" Type="http://schemas.openxmlformats.org/officeDocument/2006/relationships/hyperlink" Target="https://github.com/TCGAExpedition/ipm-ws" TargetMode="External"/><Relationship Id="rId17" Type="http://schemas.openxmlformats.org/officeDocument/2006/relationships/hyperlink" Target="https://github.com/TCGAExpedition/ipm-ws" TargetMode="External"/><Relationship Id="rId18" Type="http://schemas.openxmlformats.org/officeDocument/2006/relationships/hyperlink" Target="https://github.com/TCGAExpedition/tcga-expedition" TargetMode="External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numbering" Target="numbering.xml"/><Relationship Id="rId2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2016-03-09T19:51:00.00Z</dcterms:created>
  <dc:creator>Medvedeva, Olga</dc:creator>
  <cp:lastModifiedBy>Medvedeva, Olga</cp:lastModifiedBy>
  <dcterms:modified xsi:type="dcterms:W3CDTF">2016-06-16T19:46:00.00Z</dcterms:modified>
  <cp:revision>33</cp:revision>
</cp:coreProperties>
</file>