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color w:val="e97132"/>
          <w:sz w:val="72"/>
          <w:szCs w:val="72"/>
        </w:rPr>
      </w:pPr>
      <w:r w:rsidDel="00000000" w:rsidR="00000000" w:rsidRPr="00000000">
        <w:rPr>
          <w:b w:val="1"/>
          <w:i w:val="1"/>
          <w:color w:val="e97132"/>
          <w:sz w:val="72"/>
          <w:szCs w:val="72"/>
          <w:rtl w:val="0"/>
        </w:rPr>
        <w:t xml:space="preserve">El elogio del horizonte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834033" cy="5879925"/>
            <wp:effectExtent b="0" l="0" r="0" t="0"/>
            <wp:docPr descr="Banca de madera junto a un cuerpo de agua&#10;&#10;El contenido generado por IA puede ser incorrecto." id="1069514541" name="image1.jpg"/>
            <a:graphic>
              <a:graphicData uri="http://schemas.openxmlformats.org/drawingml/2006/picture">
                <pic:pic>
                  <pic:nvPicPr>
                    <pic:cNvPr descr="Banca de madera junto a un cuerpo de agua&#10;&#10;El contenido generado por IA puede ser incorrecto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4033" cy="587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Características destacadas</w:t>
      </w: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10 metros de altura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Aproximadamente 500 toneladas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Realizada en hormigón mediante encofrado </w:t>
      </w:r>
      <w:hyperlink r:id="rId8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  <w:b w:val="1"/>
        </w:rPr>
      </w:pP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Proceso de creación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Chillida fue invitado por el arquitecto Paco Pol durante la remodelación del cerro; seleccionado el emplazamiento, se formalizó el encargo </w:t>
      </w:r>
      <w:hyperlink r:id="rId9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Se realizaron maquetas en acero y madera. A partir de un prototipo en poliestireno expandido a tamaño real, se hizo la estructura de madera de pino como molde </w:t>
      </w:r>
      <w:hyperlink r:id="rId10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Se colocó una armadura metálica diseñada por el ingeniero José Antonio Fernández Ordóñez, se vertió el hormigón, se desmoldó tras el fraguado y se limpió con ácidos para lograr el color final </w:t>
      </w:r>
      <w:hyperlink r:id="rId11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  <w:b w:val="1"/>
        </w:rPr>
      </w:pP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Inauguración (9 de junio de 1990) </w:t>
      </w:r>
      <w:r w:rsidDel="00000000" w:rsidR="00000000" w:rsidRPr="00000000">
        <w:rPr>
          <w:rFonts w:ascii="Aptos SemiBold" w:cs="Aptos SemiBold" w:eastAsia="Aptos SemiBold" w:hAnsi="Aptos SemiBold"/>
          <w:b w:val="1"/>
          <w:color w:val="ee0000"/>
          <w:rtl w:val="0"/>
        </w:rPr>
        <w:t xml:space="preserve"> </w:t>
      </w:r>
      <w:r w:rsidDel="00000000" w:rsidR="00000000" w:rsidRPr="00000000">
        <w:rPr>
          <w:rFonts w:ascii="Aptos SemiBold" w:cs="Aptos SemiBold" w:eastAsia="Aptos SemiBold" w:hAnsi="Aptos SemiBold"/>
          <w:b w:val="1"/>
          <w:color w:val="ee0000"/>
          <w:sz w:val="48"/>
          <w:szCs w:val="4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Asistieron al evento autoridades, artistas y vecinos; el alcalde Vicente Álvarez Areces y el ministro asturiano Luis Martínez Noval </w:t>
      </w:r>
      <w:hyperlink r:id="rId12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La obra costó 1 200 millones de pesetas, lo que generó polémica por su elevado coste; Chillida declaró que solo recibió el 5 % del presupuesto </w:t>
      </w:r>
      <w:hyperlink r:id="rId13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  <w:b w:val="1"/>
        </w:rPr>
      </w:pP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30.º aniversario (9 de junio de 2020)  </w:t>
      </w:r>
      <w:r w:rsidDel="00000000" w:rsidR="00000000" w:rsidRPr="00000000">
        <w:rPr>
          <w:rFonts w:ascii="Aptos SemiBold" w:cs="Aptos SemiBold" w:eastAsia="Aptos SemiBold" w:hAnsi="Aptos SemiBold"/>
          <w:b w:val="1"/>
          <w:color w:val="ee0000"/>
          <w:sz w:val="48"/>
          <w:szCs w:val="4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El Ayuntamiento de Gijón celebró los 30 años con una exposición titulada </w:t>
      </w:r>
      <w:r w:rsidDel="00000000" w:rsidR="00000000" w:rsidRPr="00000000">
        <w:rPr>
          <w:rFonts w:ascii="Aptos SemiBold" w:cs="Aptos SemiBold" w:eastAsia="Aptos SemiBold" w:hAnsi="Aptos SemiBold"/>
          <w:i w:val="1"/>
          <w:rtl w:val="0"/>
        </w:rPr>
        <w:t xml:space="preserve">“Elogio del horizonte, mirando al futuro”</w:t>
      </w: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, comisariada por Héctor Blanco y Luis Miguel Piñera </w:t>
      </w:r>
      <w:hyperlink r:id="rId14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Los reyes Felipe VI y Letizia visitaron la escultura en julio de 2020 </w:t>
      </w:r>
      <w:hyperlink r:id="rId15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  <w:b w:val="1"/>
        </w:rPr>
      </w:pP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Significado y legado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Considerada un </w:t>
      </w:r>
      <w:r w:rsidDel="00000000" w:rsidR="00000000" w:rsidRPr="00000000">
        <w:rPr>
          <w:rFonts w:ascii="Aptos SemiBold" w:cs="Aptos SemiBold" w:eastAsia="Aptos SemiBold" w:hAnsi="Aptos SemiBold"/>
          <w:b w:val="1"/>
          <w:rtl w:val="0"/>
        </w:rPr>
        <w:t xml:space="preserve">símbolo emblemático de Gijón</w:t>
      </w: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 </w:t>
      </w:r>
      <w:hyperlink r:id="rId16">
        <w:r w:rsidDel="00000000" w:rsidR="00000000" w:rsidRPr="00000000">
          <w:rPr>
            <w:rFonts w:ascii="Aptos SemiBold" w:cs="Aptos SemiBold" w:eastAsia="Aptos SemiBold" w:hAnsi="Aptos SemiBold"/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Fonts w:ascii="Aptos SemiBold" w:cs="Aptos SemiBold" w:eastAsia="Aptos SemiBold" w:hAnsi="Aptos SemiBold"/>
          <w:rtl w:val="0"/>
        </w:rPr>
        <w:t xml:space="preserve">Su forma abierta, hacia el mar y el horizonte, evoca diálogo con el paisaje y el espacio, inspirando contemplación y libertad creativa (idea extraída del análisis del símbolo urbano, aunque no citada directamente en el texto).</w:t>
      </w:r>
    </w:p>
    <w:p w:rsidR="00000000" w:rsidDel="00000000" w:rsidP="00000000" w:rsidRDefault="00000000" w:rsidRPr="00000000" w14:paraId="00000016">
      <w:pPr>
        <w:jc w:val="center"/>
        <w:rPr>
          <w:rFonts w:ascii="Aptos SemiBold" w:cs="Aptos SemiBold" w:eastAsia="Aptos SemiBold" w:hAnsi="Apto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Fonts w:ascii="Aptos SemiBold" w:cs="Aptos SemiBold" w:eastAsia="Aptos SemiBold" w:hAnsi="Aptos SemiBold"/>
          <w:sz w:val="96"/>
          <w:szCs w:val="96"/>
          <w:rtl w:val="0"/>
        </w:rPr>
        <w:t xml:space="preserve">Bibliografía</w:t>
      </w:r>
    </w:p>
    <w:p w:rsidR="00000000" w:rsidDel="00000000" w:rsidP="00000000" w:rsidRDefault="00000000" w:rsidRPr="00000000" w14:paraId="0000001A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ptos SemiBold" w:cs="Aptos SemiBold" w:eastAsia="Aptos SemiBold" w:hAnsi="Aptos SemiBold"/>
          <w:sz w:val="36"/>
          <w:szCs w:val="36"/>
        </w:rPr>
      </w:pPr>
      <w:r w:rsidDel="00000000" w:rsidR="00000000" w:rsidRPr="00000000">
        <w:rPr>
          <w:rFonts w:ascii="Aptos SemiBold" w:cs="Aptos SemiBold" w:eastAsia="Aptos SemiBold" w:hAnsi="Aptos SemiBold"/>
          <w:sz w:val="36"/>
          <w:szCs w:val="36"/>
          <w:rtl w:val="0"/>
        </w:rPr>
        <w:t xml:space="preserve">Fuente: Patua one (logo)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ptos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A6A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A6A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A6A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A6A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A6A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A6A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A6A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A6A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A6A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A6A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A6A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A6A8C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A6A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A6A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A6A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A6A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A6A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A6A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A6A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A6A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A6A8C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A6A8C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Elogio_del_horizonte" TargetMode="External"/><Relationship Id="rId10" Type="http://schemas.openxmlformats.org/officeDocument/2006/relationships/hyperlink" Target="https://es.wikipedia.org/wiki/Elogio_del_horizonte" TargetMode="External"/><Relationship Id="rId13" Type="http://schemas.openxmlformats.org/officeDocument/2006/relationships/hyperlink" Target="https://es.wikipedia.org/wiki/Elogio_del_horizonte" TargetMode="External"/><Relationship Id="rId12" Type="http://schemas.openxmlformats.org/officeDocument/2006/relationships/hyperlink" Target="https://es.wikipedia.org/wiki/Elogio_del_horizon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Elogio_del_horizonte" TargetMode="External"/><Relationship Id="rId15" Type="http://schemas.openxmlformats.org/officeDocument/2006/relationships/hyperlink" Target="https://es.wikipedia.org/wiki/Elogio_del_horizonte" TargetMode="External"/><Relationship Id="rId14" Type="http://schemas.openxmlformats.org/officeDocument/2006/relationships/hyperlink" Target="https://es.wikipedia.org/wiki/Elogio_del_horizonte" TargetMode="External"/><Relationship Id="rId16" Type="http://schemas.openxmlformats.org/officeDocument/2006/relationships/hyperlink" Target="https://es.wikipedia.org/wiki/Elogio_del_horizon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es.wikipedia.org/wiki/Elogio_del_horizon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DN+8yNg+q5nGaWdX7otE3VSBA==">CgMxLjA4AHIhMXN2U0tPUW5oSzJrR2Z6YVhMUk5IOUMxT2oxZ0RoT05X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2025-08-14T08:17:00Z</dcterms:created>
  <dc:creator>aio10</dc:creator>
</cp:coreProperties>
</file>