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16" w:rsidRDefault="005F7216" w:rsidP="005F7216">
      <w:pPr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</w:p>
    <w:p w:rsidR="005F7216" w:rsidRPr="00BE343E" w:rsidRDefault="005F7216" w:rsidP="005F7216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OBJETIVO GENÉRICO GG1</w:t>
      </w:r>
      <w:r w:rsidRPr="00BE343E">
        <w:rPr>
          <w:rFonts w:asciiTheme="majorHAnsi" w:hAnsiTheme="majorHAnsi" w:cstheme="majorHAnsi"/>
        </w:rPr>
        <w:t>. Alcanzar los objetivos específicos.</w:t>
      </w:r>
    </w:p>
    <w:p w:rsidR="005F7216" w:rsidRPr="00BE343E" w:rsidRDefault="005F7216" w:rsidP="005F7216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SG 1</w:t>
      </w:r>
      <w:r w:rsidRPr="00BE343E">
        <w:rPr>
          <w:rFonts w:asciiTheme="majorHAnsi" w:hAnsiTheme="majorHAnsi" w:cstheme="majorHAnsi"/>
        </w:rPr>
        <w:t>. Evaluar objetivamente los productos.</w:t>
      </w: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seleccionado los productos a evaluar, en base a los criterios de muestreo.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 las entradas se corresponden con los criterios de entrada.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</w:rPr>
        <w:t>Se han establecido y mantenido los criterios de evaluación de productos.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No, por ejemplo, entre los criterios de entrada y los de salida se ha eliminado los informes mensuales del ingeniero de calidad (apartado 2.5 y 2.6).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utilizado los criterios establecidos anteriormente.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en cada actividad se utilizaron los correspondientes.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evalúan los productos en los momentos establecidos</w:t>
      </w:r>
      <w:r w:rsidR="00031FCB" w:rsidRPr="00BE343E">
        <w:rPr>
          <w:rFonts w:asciiTheme="majorHAnsi" w:hAnsiTheme="majorHAnsi" w:cstheme="majorHAnsi"/>
        </w:rPr>
        <w:t>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las entradas a evaluar aparecen cada una en una actividad más adelante.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identifican las disconformidades encontradas en las evaluaciones</w:t>
      </w:r>
      <w:r w:rsidR="00031FCB" w:rsidRPr="00BE343E">
        <w:rPr>
          <w:rFonts w:asciiTheme="majorHAnsi" w:hAnsiTheme="majorHAnsi" w:cstheme="majorHAnsi"/>
        </w:rPr>
        <w:t>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se identifican en el subproceso de Realizar revisiones de calidad (Apartado 3.2)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indican las lecciones aprendidas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revisa por el IQA que las acciones correctoras se realicen correctamente.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031FCB" w:rsidRPr="00BE343E" w:rsidRDefault="00031FCB" w:rsidP="00031FCB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SG 2</w:t>
      </w:r>
      <w:r w:rsidRPr="00BE343E">
        <w:rPr>
          <w:rFonts w:asciiTheme="majorHAnsi" w:hAnsiTheme="majorHAnsi" w:cstheme="majorHAnsi"/>
        </w:rPr>
        <w:t>. Perseguir los resultados no adecuados, comunicarlos y garantizar su resolución.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 xml:space="preserve">Se han resuelto las disconformidades con los miembros del personal. 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en el documento se explica que las disconformidades se tratan y comunican al jefe del proyecto. (Apartado 3.3)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Cuando una disconformidad no se puede resolver, se documenta.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según el diagrama de actividad las no conformidades se registran. (Apartado 2.4 Diagrama de actividades)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escalado y presentado las no conformidades al nivel de gerencia correspondiente.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en el documento se dice explícitamente que cuando una no conformidad no sea resuelta se escala al jefe de departamento y posteriormente al director de unidad. (Apartado 3.3)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 comprobado si existen tendencias de calidad en las disconformidades.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lastRenderedPageBreak/>
        <w:t>-Sí, ya que en el documento se dice que se analizan las tendencias de calidad anualmente. (Apartado 2.4)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 mantenido la comunicación entre las partes interesadas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-Sí, ya que se mantiene la comunicación entre el jefe de proyecto y el director de producción o a quien haya escalado la no conformidad (Apartado 3.3.2)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realizado revisiones periódicas sobre las disconformidades con el gerente designado.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-Sí, ya que se dice en el documento que se realizan seguimientos de las acciones correctoras en la siguiente reunión de revisión de Calidad (Apartado 3.4)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No se ha dejado ninguna disconformidad sin resolver.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registrado actividades para la aseguración de la calidad de los productos.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Si es necesario se modifican las actividades de aseguramiento de la calidad.</w:t>
      </w:r>
    </w:p>
    <w:p w:rsidR="009C3C93" w:rsidRPr="00BE343E" w:rsidRDefault="009C3C93" w:rsidP="009C3C93">
      <w:pPr>
        <w:ind w:left="360"/>
        <w:rPr>
          <w:rFonts w:asciiTheme="majorHAnsi" w:hAnsiTheme="majorHAnsi" w:cstheme="majorHAnsi"/>
        </w:rPr>
      </w:pPr>
    </w:p>
    <w:p w:rsidR="00122333" w:rsidRPr="00BE343E" w:rsidRDefault="009C3C93" w:rsidP="009C3C93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OBJETIVO GENÉRICO</w:t>
      </w:r>
      <w:r w:rsidRPr="00BE343E">
        <w:rPr>
          <w:rFonts w:asciiTheme="majorHAnsi" w:hAnsiTheme="majorHAnsi" w:cstheme="majorHAnsi"/>
        </w:rPr>
        <w:t xml:space="preserve"> GG2. Institucionalizar un proceso gestionado.</w:t>
      </w:r>
    </w:p>
    <w:p w:rsidR="009C3C93" w:rsidRPr="00BE343E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establecido una política de organización.</w:t>
      </w:r>
    </w:p>
    <w:p w:rsidR="00B014C7" w:rsidRPr="00BE343E" w:rsidRDefault="00D33E45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planificado el proceso.</w:t>
      </w: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 xml:space="preserve"> </w:t>
      </w:r>
      <w:r w:rsidRPr="00BE343E">
        <w:rPr>
          <w:rFonts w:asciiTheme="majorHAnsi" w:hAnsiTheme="majorHAnsi" w:cstheme="majorHAnsi"/>
        </w:rPr>
        <w:t>Se han proporcionado recursos.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Pr="00BE343E" w:rsidRDefault="00B014C7" w:rsidP="00B014C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puesto que se definen todas las entradas, o lo que es lo mismo, los recursos necesarios para la realización del proceso (Apartado 2.3).</w:t>
      </w:r>
      <w:r w:rsidRPr="00BE343E">
        <w:rPr>
          <w:rFonts w:asciiTheme="majorHAnsi" w:hAnsiTheme="majorHAnsi" w:cstheme="majorHAnsi"/>
          <w:i/>
        </w:rPr>
        <w:t xml:space="preserve"> </w:t>
      </w:r>
    </w:p>
    <w:p w:rsidR="00B014C7" w:rsidRPr="00BE343E" w:rsidRDefault="00B014C7" w:rsidP="00B014C7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han asignado responsabilidades.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definen los actores, al igual que las funciones de cada participante (Apartado 5).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formado al personal.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menciona en el proyecto una lista de acciones para la formación del personal (Apartado 11).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controlado los productos de trabajo.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debido a que existe un subproceso dedicado exclusivamente a que se realice de forma correcta el proceso de la calidad (Apartado 3.8).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identificado e implicado al personal relevante.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en cada subproceso de la gestión de la calidad se define en cada momento qué actor entra en qué tarea de cualquier subproceso (Apartado 3).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D33E45" w:rsidRPr="00BE343E" w:rsidRDefault="00D33E45" w:rsidP="00B014C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</w:t>
      </w:r>
      <w:bookmarkStart w:id="0" w:name="_GoBack"/>
      <w:bookmarkEnd w:id="0"/>
      <w:r w:rsidRPr="00BE343E">
        <w:rPr>
          <w:rFonts w:asciiTheme="majorHAnsi" w:hAnsiTheme="majorHAnsi" w:cstheme="majorHAnsi"/>
        </w:rPr>
        <w:t>a coordinado y controlado el proceso.</w:t>
      </w:r>
    </w:p>
    <w:p w:rsidR="00D33E45" w:rsidRPr="00BE343E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evaluado la conformidad del proceso frente a sus “adherencias”.</w:t>
      </w:r>
    </w:p>
    <w:p w:rsidR="00D33E45" w:rsidRPr="00BE343E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revisado el estado del proceso con el “nivel de gestión más alto”.</w:t>
      </w:r>
    </w:p>
    <w:p w:rsidR="00D33E45" w:rsidRPr="00BE343E" w:rsidRDefault="00D33E45" w:rsidP="00D33E45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lastRenderedPageBreak/>
        <w:t>OBJETIVO GENÉRICO</w:t>
      </w:r>
      <w:r w:rsidRPr="00BE343E">
        <w:rPr>
          <w:rFonts w:asciiTheme="majorHAnsi" w:hAnsiTheme="majorHAnsi" w:cstheme="majorHAnsi"/>
        </w:rPr>
        <w:t xml:space="preserve"> GG3. Institucionalizar un proceso definido.</w:t>
      </w:r>
    </w:p>
    <w:p w:rsidR="00D33E45" w:rsidRPr="00BE343E" w:rsidRDefault="00D33E45" w:rsidP="00D33E4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establecido un proceso definido.</w:t>
      </w:r>
    </w:p>
    <w:p w:rsidR="00D33E45" w:rsidRPr="00BE343E" w:rsidRDefault="00D33E45" w:rsidP="00D33E4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recopilado información de la experiencia relacionada con el proceso.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27DB"/>
    <w:multiLevelType w:val="hybridMultilevel"/>
    <w:tmpl w:val="A3F444C6"/>
    <w:lvl w:ilvl="0" w:tplc="45AE9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33"/>
    <w:rsid w:val="00031FCB"/>
    <w:rsid w:val="00122333"/>
    <w:rsid w:val="0017412C"/>
    <w:rsid w:val="0045722C"/>
    <w:rsid w:val="005F7216"/>
    <w:rsid w:val="007F7371"/>
    <w:rsid w:val="00957863"/>
    <w:rsid w:val="009C3C93"/>
    <w:rsid w:val="00B014C7"/>
    <w:rsid w:val="00BE343E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B6E2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Augusto Martinez</cp:lastModifiedBy>
  <cp:revision>6</cp:revision>
  <dcterms:created xsi:type="dcterms:W3CDTF">2019-01-09T08:28:00Z</dcterms:created>
  <dcterms:modified xsi:type="dcterms:W3CDTF">2019-01-16T09:53:00Z</dcterms:modified>
</cp:coreProperties>
</file>