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37691E"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B5DED" w:rsidP="00B11006">
            <w:pPr>
              <w:ind w:firstLine="0"/>
              <w:jc w:val="center"/>
              <w:rPr>
                <w:rFonts w:ascii="Arial Narrow" w:hAnsi="Arial Narrow"/>
                <w:sz w:val="32"/>
                <w:szCs w:val="32"/>
              </w:rPr>
            </w:pPr>
            <w:r>
              <w:rPr>
                <w:rFonts w:ascii="Arial Narrow" w:hAnsi="Arial Narrow"/>
                <w:sz w:val="32"/>
                <w:szCs w:val="32"/>
              </w:rPr>
              <w:t>16</w:t>
            </w:r>
            <w:r w:rsidR="00F24AAA">
              <w:rPr>
                <w:rFonts w:ascii="Arial Narrow" w:hAnsi="Arial Narrow"/>
                <w:sz w:val="32"/>
                <w:szCs w:val="32"/>
              </w:rPr>
              <w:t>/</w:t>
            </w:r>
            <w:r w:rsidR="00B11006">
              <w:rPr>
                <w:rFonts w:ascii="Arial Narrow" w:hAnsi="Arial Narrow"/>
                <w:sz w:val="32"/>
                <w:szCs w:val="32"/>
              </w:rPr>
              <w:t>01</w:t>
            </w:r>
            <w:r w:rsidR="00F24AAA">
              <w:rPr>
                <w:rFonts w:ascii="Arial Narrow" w:hAnsi="Arial Narrow"/>
                <w:sz w:val="32"/>
                <w:szCs w:val="32"/>
              </w:rPr>
              <w:t>/</w:t>
            </w:r>
            <w:r w:rsidR="00B11006">
              <w:rPr>
                <w:rFonts w:ascii="Arial Narrow" w:hAnsi="Arial Narrow"/>
                <w:sz w:val="32"/>
                <w:szCs w:val="32"/>
              </w:rPr>
              <w:t>2019</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w:t>
            </w:r>
            <w:r w:rsidR="00B11006">
              <w:rPr>
                <w:rFonts w:ascii="Arial Narrow" w:hAnsi="Arial Narrow"/>
                <w:sz w:val="32"/>
                <w:szCs w:val="32"/>
              </w:rPr>
              <w:t>1</w:t>
            </w:r>
            <w:r w:rsidR="009C3718" w:rsidRPr="009C3718">
              <w:rPr>
                <w:rFonts w:ascii="Arial Narrow" w:hAnsi="Arial Narrow"/>
                <w:sz w:val="32"/>
                <w:szCs w:val="32"/>
              </w:rPr>
              <w:t>r</w:t>
            </w:r>
            <w:r w:rsidR="00B11006">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5A2B37" w:rsidP="00F24AAA">
            <w:pPr>
              <w:ind w:firstLine="0"/>
              <w:jc w:val="left"/>
            </w:pPr>
            <w:r>
              <w:rPr>
                <w:rFonts w:ascii="Arial Narrow" w:hAnsi="Arial Narrow"/>
                <w:sz w:val="32"/>
                <w:szCs w:val="24"/>
              </w:rPr>
              <w:t>Murillo Jaenes, Alberto</w:t>
            </w:r>
          </w:p>
        </w:tc>
        <w:tc>
          <w:tcPr>
            <w:tcW w:w="2410" w:type="dxa"/>
          </w:tcPr>
          <w:p w:rsidR="00F24AAA" w:rsidRPr="00FB5DED" w:rsidRDefault="00FB5DED" w:rsidP="00F24AAA">
            <w:pPr>
              <w:ind w:firstLine="0"/>
              <w:rPr>
                <w:rFonts w:ascii="Arial Narrow" w:hAnsi="Arial Narrow"/>
                <w:sz w:val="32"/>
                <w:szCs w:val="32"/>
              </w:rPr>
            </w:pPr>
            <w:proofErr w:type="spellStart"/>
            <w:r w:rsidRPr="00FB5DED">
              <w:rPr>
                <w:rFonts w:ascii="Arial Narrow" w:hAnsi="Arial Narrow"/>
                <w:sz w:val="32"/>
                <w:szCs w:val="32"/>
              </w:rPr>
              <w:t>Team</w:t>
            </w:r>
            <w:proofErr w:type="spellEnd"/>
            <w:r w:rsidRPr="00FB5DED">
              <w:rPr>
                <w:rFonts w:ascii="Arial Narrow" w:hAnsi="Arial Narrow"/>
                <w:sz w:val="32"/>
                <w:szCs w:val="32"/>
              </w:rPr>
              <w:t xml:space="preserve"> </w:t>
            </w:r>
            <w:proofErr w:type="spellStart"/>
            <w:r w:rsidRPr="00FB5DED">
              <w:rPr>
                <w:rFonts w:ascii="Arial Narrow" w:hAnsi="Arial Narrow"/>
                <w:sz w:val="32"/>
                <w:szCs w:val="32"/>
              </w:rPr>
              <w:t>member</w:t>
            </w:r>
            <w:proofErr w:type="spellEnd"/>
          </w:p>
        </w:tc>
      </w:tr>
      <w:tr w:rsidR="00F24AAA" w:rsidTr="00F24AAA">
        <w:trPr>
          <w:jc w:val="center"/>
        </w:trPr>
        <w:tc>
          <w:tcPr>
            <w:tcW w:w="4248" w:type="dxa"/>
          </w:tcPr>
          <w:p w:rsidR="00F24AAA" w:rsidRDefault="00FB5DED" w:rsidP="00F24AAA">
            <w:pPr>
              <w:ind w:firstLine="0"/>
              <w:jc w:val="left"/>
            </w:pPr>
            <w:r>
              <w:rPr>
                <w:rFonts w:ascii="Arial Narrow" w:hAnsi="Arial Narrow"/>
                <w:sz w:val="32"/>
                <w:szCs w:val="24"/>
              </w:rPr>
              <w:t>Sosa Cifuentes, José Antonio</w:t>
            </w:r>
          </w:p>
        </w:tc>
        <w:tc>
          <w:tcPr>
            <w:tcW w:w="2410" w:type="dxa"/>
          </w:tcPr>
          <w:p w:rsidR="00F24AAA" w:rsidRDefault="00FB5DED" w:rsidP="00F24AAA">
            <w:pPr>
              <w:ind w:firstLine="0"/>
            </w:pPr>
            <w:proofErr w:type="spellStart"/>
            <w:r w:rsidRPr="00FB5DED">
              <w:rPr>
                <w:rFonts w:ascii="Arial Narrow" w:hAnsi="Arial Narrow"/>
                <w:sz w:val="32"/>
                <w:szCs w:val="32"/>
              </w:rPr>
              <w:t>Team</w:t>
            </w:r>
            <w:proofErr w:type="spellEnd"/>
            <w:r w:rsidRPr="00FB5DED">
              <w:rPr>
                <w:rFonts w:ascii="Arial Narrow" w:hAnsi="Arial Narrow"/>
                <w:sz w:val="32"/>
                <w:szCs w:val="32"/>
              </w:rPr>
              <w:t xml:space="preserve"> </w:t>
            </w:r>
            <w:proofErr w:type="spellStart"/>
            <w:r w:rsidRPr="00FB5DED">
              <w:rPr>
                <w:rFonts w:ascii="Arial Narrow" w:hAnsi="Arial Narrow"/>
                <w:sz w:val="32"/>
                <w:szCs w:val="32"/>
              </w:rPr>
              <w:t>member</w:t>
            </w:r>
            <w:proofErr w:type="spellEnd"/>
          </w:p>
        </w:tc>
      </w:tr>
      <w:tr w:rsidR="00F24AAA" w:rsidTr="00F24AAA">
        <w:trPr>
          <w:jc w:val="center"/>
        </w:trPr>
        <w:tc>
          <w:tcPr>
            <w:tcW w:w="4248" w:type="dxa"/>
          </w:tcPr>
          <w:p w:rsidR="00F24AAA" w:rsidRDefault="00FB5DED" w:rsidP="00F24AAA">
            <w:pPr>
              <w:ind w:firstLine="0"/>
              <w:jc w:val="left"/>
            </w:pPr>
            <w:r w:rsidRPr="00FB5DED">
              <w:rPr>
                <w:rFonts w:ascii="Arial Narrow" w:hAnsi="Arial Narrow"/>
                <w:sz w:val="32"/>
                <w:szCs w:val="24"/>
              </w:rPr>
              <w:t>Martínez Barcia</w:t>
            </w:r>
            <w:r>
              <w:rPr>
                <w:rFonts w:ascii="Arial Narrow" w:hAnsi="Arial Narrow"/>
                <w:sz w:val="32"/>
                <w:szCs w:val="24"/>
              </w:rPr>
              <w:t xml:space="preserve">, </w:t>
            </w:r>
            <w:r w:rsidRPr="00FB5DED">
              <w:rPr>
                <w:rFonts w:ascii="Arial Narrow" w:hAnsi="Arial Narrow"/>
                <w:sz w:val="32"/>
                <w:szCs w:val="24"/>
              </w:rPr>
              <w:t>Augusto</w:t>
            </w:r>
          </w:p>
        </w:tc>
        <w:tc>
          <w:tcPr>
            <w:tcW w:w="2410" w:type="dxa"/>
          </w:tcPr>
          <w:p w:rsidR="00F24AAA" w:rsidRDefault="00FB5DED" w:rsidP="00F24AAA">
            <w:pPr>
              <w:ind w:firstLine="0"/>
            </w:pPr>
            <w:proofErr w:type="spellStart"/>
            <w:r w:rsidRPr="00FB5DED">
              <w:rPr>
                <w:rFonts w:ascii="Arial Narrow" w:hAnsi="Arial Narrow"/>
                <w:sz w:val="32"/>
                <w:szCs w:val="24"/>
              </w:rPr>
              <w:t>Appraisal</w:t>
            </w:r>
            <w:proofErr w:type="spellEnd"/>
            <w:r w:rsidRPr="00FB5DED">
              <w:rPr>
                <w:rFonts w:ascii="Arial Narrow" w:hAnsi="Arial Narrow"/>
                <w:sz w:val="32"/>
                <w:szCs w:val="24"/>
              </w:rPr>
              <w:t xml:space="preserve"> </w:t>
            </w:r>
            <w:proofErr w:type="spellStart"/>
            <w:r w:rsidRPr="00FB5DED">
              <w:rPr>
                <w:rFonts w:ascii="Arial Narrow" w:hAnsi="Arial Narrow"/>
                <w:sz w:val="32"/>
                <w:szCs w:val="24"/>
              </w:rPr>
              <w:t>team</w:t>
            </w:r>
            <w:proofErr w:type="spellEnd"/>
            <w:r w:rsidRPr="00FB5DED">
              <w:rPr>
                <w:rFonts w:ascii="Arial Narrow" w:hAnsi="Arial Narrow"/>
                <w:sz w:val="32"/>
                <w:szCs w:val="24"/>
              </w:rPr>
              <w:t xml:space="preserve"> leader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t>Control de Versiones</w:t>
      </w:r>
    </w:p>
    <w:tbl>
      <w:tblPr>
        <w:tblStyle w:val="Tablaconcuadrcula"/>
        <w:tblW w:w="8784" w:type="dxa"/>
        <w:tblLook w:val="04A0" w:firstRow="1" w:lastRow="0" w:firstColumn="1" w:lastColumn="0" w:noHBand="0" w:noVBand="1"/>
      </w:tblPr>
      <w:tblGrid>
        <w:gridCol w:w="1431"/>
        <w:gridCol w:w="1132"/>
        <w:gridCol w:w="622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r w:rsidR="00FB5DED">
              <w:rPr>
                <w:rFonts w:ascii="Arial Narrow" w:hAnsi="Arial Narrow"/>
                <w:sz w:val="24"/>
                <w:szCs w:val="24"/>
              </w:rPr>
              <w:t>20</w:t>
            </w:r>
            <w:r w:rsidRPr="00324DA1">
              <w:rPr>
                <w:rFonts w:ascii="Arial Narrow" w:hAnsi="Arial Narrow"/>
                <w:sz w:val="24"/>
                <w:szCs w:val="24"/>
              </w:rPr>
              <w:t>/</w:t>
            </w:r>
            <w:r w:rsidR="00FB5DED">
              <w:rPr>
                <w:rFonts w:ascii="Arial Narrow" w:hAnsi="Arial Narrow"/>
                <w:sz w:val="24"/>
                <w:szCs w:val="24"/>
              </w:rPr>
              <w:t>01</w:t>
            </w:r>
            <w:r w:rsidRPr="00324DA1">
              <w:rPr>
                <w:rFonts w:ascii="Arial Narrow" w:hAnsi="Arial Narrow"/>
                <w:sz w:val="24"/>
                <w:szCs w:val="24"/>
              </w:rPr>
              <w:t>/</w:t>
            </w:r>
            <w:r w:rsidR="00FB5DED">
              <w:rPr>
                <w:rFonts w:ascii="Arial Narrow" w:hAnsi="Arial Narrow"/>
                <w:sz w:val="24"/>
                <w:szCs w:val="24"/>
              </w:rPr>
              <w:t>2019</w:t>
            </w:r>
            <w:r w:rsidRPr="00324DA1">
              <w:rPr>
                <w:rFonts w:ascii="Arial Narrow" w:hAnsi="Arial Narrow"/>
                <w:sz w:val="24"/>
                <w:szCs w:val="24"/>
              </w:rPr>
              <w:t>&gt;</w:t>
            </w:r>
          </w:p>
        </w:tc>
        <w:tc>
          <w:tcPr>
            <w:tcW w:w="1144" w:type="dxa"/>
          </w:tcPr>
          <w:p w:rsidR="00AD5344" w:rsidRPr="00324DA1" w:rsidRDefault="00FB5DED"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FB5DED" w:rsidP="000233B4">
            <w:pPr>
              <w:ind w:firstLine="0"/>
              <w:rPr>
                <w:rFonts w:ascii="Arial Narrow" w:hAnsi="Arial Narrow"/>
                <w:sz w:val="24"/>
                <w:szCs w:val="24"/>
              </w:rPr>
            </w:pPr>
            <w:r>
              <w:rPr>
                <w:rFonts w:ascii="Arial Narrow" w:hAnsi="Arial Narrow"/>
                <w:sz w:val="24"/>
                <w:szCs w:val="24"/>
              </w:rPr>
              <w:t>Finalización del documento</w:t>
            </w:r>
            <w:bookmarkStart w:id="0" w:name="_GoBack"/>
            <w:bookmarkEnd w:id="0"/>
            <w:r w:rsidR="007567AA" w:rsidRPr="00324DA1">
              <w:rPr>
                <w:rFonts w:ascii="Arial Narrow" w:hAnsi="Arial Narrow"/>
                <w:sz w:val="24"/>
                <w:szCs w:val="24"/>
              </w:rPr>
              <w:t xml:space="preserve">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37691E">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37691E">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37691E">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37691E">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37691E">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1" w:name="_Toc535392812"/>
      <w:r w:rsidRPr="00592244">
        <w:rPr>
          <w:rFonts w:ascii="Arial Narrow" w:hAnsi="Arial Narrow"/>
          <w:b/>
          <w:szCs w:val="24"/>
        </w:rPr>
        <w:lastRenderedPageBreak/>
        <w:t>Introducción</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2" w:name="_Toc535392813"/>
      <w:r w:rsidRPr="00592244">
        <w:rPr>
          <w:rFonts w:ascii="Arial Narrow" w:hAnsi="Arial Narrow"/>
          <w:b/>
          <w:szCs w:val="24"/>
        </w:rPr>
        <w:t>Objetiv</w:t>
      </w:r>
      <w:r w:rsidR="00B11006">
        <w:rPr>
          <w:rFonts w:ascii="Arial Narrow" w:hAnsi="Arial Narrow"/>
          <w:b/>
          <w:szCs w:val="24"/>
        </w:rPr>
        <w:t>o</w:t>
      </w:r>
      <w:bookmarkEnd w:id="2"/>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3" w:name="_Toc535392814"/>
      <w:r w:rsidRPr="00592244">
        <w:rPr>
          <w:rFonts w:ascii="Arial Narrow" w:hAnsi="Arial Narrow"/>
          <w:b/>
          <w:szCs w:val="24"/>
        </w:rPr>
        <w:t>Contenido</w:t>
      </w:r>
      <w:bookmarkEnd w:id="3"/>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documentación del área de proceso PPQA de CMMI y</w:t>
      </w:r>
      <w:r>
        <w:t xml:space="preserve"> teníamos claro cuáles eran los objetivos que la empresa tenía que cumplir para </w:t>
      </w:r>
      <w:r w:rsidR="003D18B3">
        <w:t xml:space="preserve">pasar el PPQA, dividimos cada uno de los puntos entre los miembros del grupo y cada uno por nuestra cuenta repasamos la descripción del proceso de aseguramiento de calidad seguido en la empresa de ejemplo ACME </w:t>
      </w:r>
      <w:proofErr w:type="spellStart"/>
      <w:r w:rsidR="003D18B3">
        <w:t>Solutions</w:t>
      </w:r>
      <w:proofErr w:type="spellEnd"/>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la descripción del proceso de aseguramiento de calidad seguido en la empresa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xml:space="preserve">, hicimos un informe para concluir con esta práctica, que incluye el nivel de capacidad final alcanzado por la empresa, conclusiones acerca de la evaluación en general y los puntos fuertes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554CC2" w:rsidRDefault="009437F5" w:rsidP="009437F5">
      <w:pPr>
        <w:ind w:firstLine="0"/>
        <w:rPr>
          <w:u w:val="single"/>
          <w:lang w:val="en-US"/>
        </w:rPr>
      </w:pPr>
      <w:r w:rsidRPr="00554CC2">
        <w:rPr>
          <w:u w:val="single"/>
          <w:lang w:val="en-US"/>
        </w:rPr>
        <w:lastRenderedPageBreak/>
        <w:t>Appraisal team</w:t>
      </w:r>
    </w:p>
    <w:p w:rsidR="009437F5" w:rsidRPr="00554CC2" w:rsidRDefault="009437F5" w:rsidP="009437F5">
      <w:pPr>
        <w:ind w:firstLine="0"/>
        <w:rPr>
          <w:lang w:val="en-US"/>
        </w:rPr>
      </w:pPr>
      <w:r w:rsidRPr="00554CC2">
        <w:rPr>
          <w:lang w:val="en-US"/>
        </w:rPr>
        <w:t xml:space="preserve">-Sponsor -&gt; Adrián Roldan </w:t>
      </w:r>
      <w:proofErr w:type="spellStart"/>
      <w:r w:rsidRPr="00554CC2">
        <w:rPr>
          <w:lang w:val="en-US"/>
        </w:rPr>
        <w:t>Rojo</w:t>
      </w:r>
      <w:proofErr w:type="spellEnd"/>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Suso Cifuentes y Alberto Murillo Jaenes</w:t>
      </w:r>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OBJETIVO GENÉRICO GG1</w:t>
      </w:r>
      <w:r w:rsidRPr="00554CC2">
        <w:rPr>
          <w:rFonts w:asciiTheme="minorHAnsi" w:hAnsiTheme="minorHAnsi" w:cstheme="majorHAnsi"/>
        </w:rPr>
        <w:t>. Alcanzar los objetivos específicos.</w:t>
      </w: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1</w:t>
      </w:r>
      <w:r w:rsidRPr="00554CC2">
        <w:rPr>
          <w:rFonts w:asciiTheme="minorHAnsi" w:hAnsiTheme="minorHAnsi" w:cstheme="majorHAnsi"/>
        </w:rPr>
        <w:t>. Evaluar objetivamente los productos.</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seleccionado los productos a evaluar, en base a los criterios de muestreo.</w:t>
      </w: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se corresponden con los criterios de entrada.</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i/>
        </w:rPr>
      </w:pPr>
      <w:r w:rsidRPr="00554CC2">
        <w:rPr>
          <w:rFonts w:asciiTheme="minorHAnsi" w:hAnsiTheme="minorHAnsi" w:cstheme="majorHAnsi"/>
        </w:rPr>
        <w:t>Se han establecido y mantenido los criterios de evaluación de productos.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DC1EA5" w:rsidP="00554CC2">
      <w:pPr>
        <w:pStyle w:val="Prrafodelista"/>
        <w:numPr>
          <w:ilvl w:val="0"/>
          <w:numId w:val="14"/>
        </w:numPr>
        <w:spacing w:after="160" w:line="256" w:lineRule="auto"/>
        <w:jc w:val="left"/>
        <w:rPr>
          <w:rFonts w:asciiTheme="minorHAnsi" w:hAnsiTheme="minorHAnsi" w:cstheme="majorHAnsi"/>
          <w:i/>
        </w:rPr>
      </w:pPr>
      <w:r>
        <w:rPr>
          <w:rFonts w:asciiTheme="minorHAnsi" w:hAnsiTheme="minorHAnsi" w:cstheme="majorHAnsi"/>
          <w:i/>
        </w:rPr>
        <w:t>Si</w:t>
      </w:r>
      <w:r w:rsidR="00554CC2" w:rsidRPr="00554CC2">
        <w:rPr>
          <w:rFonts w:asciiTheme="minorHAnsi" w:hAnsiTheme="minorHAnsi" w:cstheme="majorHAnsi"/>
          <w:i/>
        </w:rPr>
        <w:t xml:space="preserve">, </w:t>
      </w:r>
      <w:r>
        <w:rPr>
          <w:rFonts w:asciiTheme="minorHAnsi" w:hAnsiTheme="minorHAnsi" w:cstheme="majorHAnsi"/>
          <w:i/>
        </w:rPr>
        <w:t>ya que como entrada usa lo informes mensuales y como salida se produce el informe anual.</w:t>
      </w:r>
      <w:r w:rsidR="00554CC2" w:rsidRPr="00554CC2">
        <w:rPr>
          <w:rFonts w:asciiTheme="minorHAnsi" w:hAnsiTheme="minorHAnsi" w:cstheme="majorHAnsi"/>
          <w:i/>
        </w:rPr>
        <w:t xml:space="preserve"> </w:t>
      </w:r>
      <w:r>
        <w:rPr>
          <w:rFonts w:asciiTheme="minorHAnsi" w:hAnsiTheme="minorHAnsi" w:cstheme="majorHAnsi"/>
          <w:i/>
        </w:rPr>
        <w:t xml:space="preserve"> Por lo tanto, han cumplido con los criterios de evaluación propuestos. </w:t>
      </w:r>
      <w:r w:rsidR="00554CC2" w:rsidRPr="00554CC2">
        <w:rPr>
          <w:rFonts w:asciiTheme="minorHAnsi" w:hAnsiTheme="minorHAnsi" w:cstheme="majorHAnsi"/>
          <w:i/>
        </w:rPr>
        <w:t>(apartado 2.5 y 2.6).</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utilizado los criterios establecidos anteriormente.</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en cada actividad se utilizaron los correspondientes.</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evalúan los productos en los momentos establecidos.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a evaluar aparecen cada una en una actividad más adelante.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identifican las disconformidades encontradas en las evaluaciones.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se identifican en el subproceso de Realizar revisiones de calidad (Apartado 3.2)</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indican las lecciones aprendidas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lastRenderedPageBreak/>
        <w:t>Sí, ya que se revisa por el IQA que las acciones correctoras se realicen correctamente.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2</w:t>
      </w:r>
      <w:r w:rsidRPr="00554CC2">
        <w:rPr>
          <w:rFonts w:asciiTheme="minorHAnsi" w:hAnsiTheme="minorHAnsi" w:cstheme="majorHAnsi"/>
        </w:rPr>
        <w:t>. Perseguir los resultados no adecuados, comunicarlos y garantizar su resolución.</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 xml:space="preserve">Se han resuelto las disconformidades con los miembros del personal. </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explica que las disconformidades se tratan y comunican al jefe del proyecto.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Cuando una disconformidad no se puede resolver, se documenta.</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según el diagrama de actividad las no conformidades se registran. (Apartado 2.4 Diagrama de actividades)</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escalado y presentado las no conformidades al nivel de gerencia correspondiente.</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dice explícitamente que cuando una no conformidad no sea resuelta se escala al jefe de departamento y posteriormente al director de unidad.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comprobado si existen tendencias de calidad en las disconformidades.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en el documento se dice que se analizan las tendencias de calidad anualmente. (Apartado 2.4)</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mantenido la comunicación entre las partes interesadas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mantiene la comunicación entre el jefe de proyecto y el director de producción o a quien haya escalado la no conformidad (Apartado 3.3.2)</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realizado revisiones periódicas sobre las disconformidades con el gerente designado.</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dice en el documento que se realizan seguimientos de las acciones correctoras en la siguiente reunión de revisión de Calidad (Apartado 3.4)</w:t>
      </w:r>
    </w:p>
    <w:p w:rsidR="00554CC2" w:rsidRDefault="00554CC2" w:rsidP="00554CC2">
      <w:pPr>
        <w:spacing w:after="0" w:line="240" w:lineRule="auto"/>
        <w:ind w:firstLine="0"/>
        <w:jc w:val="left"/>
        <w:textAlignment w:val="center"/>
        <w:rPr>
          <w:rFonts w:ascii="Calibri" w:eastAsia="Times New Roman" w:hAnsi="Calibri" w:cs="Calibri"/>
          <w:lang w:eastAsia="es-ES"/>
        </w:rPr>
      </w:pPr>
    </w:p>
    <w:p w:rsidR="009437F5" w:rsidRPr="00554CC2" w:rsidRDefault="009437F5" w:rsidP="00DA5F75">
      <w:pPr>
        <w:numPr>
          <w:ilvl w:val="0"/>
          <w:numId w:val="9"/>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No se ha dejado ninguna disconformidad sin resolver.</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Durante el subproceso de Gestión de acciones correctoras y escalado según el documento que se nos facilitó, si se han producido no conformidades, el Ingeniero de Calidad convocará al Jefe de Proyecto (éste podrá delegar o involucrar al personal </w:t>
      </w:r>
      <w:r w:rsidRPr="00554CC2">
        <w:rPr>
          <w:rFonts w:asciiTheme="minorHAnsi" w:hAnsiTheme="minorHAnsi"/>
        </w:rPr>
        <w:lastRenderedPageBreak/>
        <w:t xml:space="preserve">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w:t>
      </w:r>
      <w:proofErr w:type="gramStart"/>
      <w:r w:rsidRPr="00554CC2">
        <w:rPr>
          <w:rFonts w:asciiTheme="minorHAnsi" w:hAnsiTheme="minorHAnsi"/>
        </w:rPr>
        <w:t>las mismas</w:t>
      </w:r>
      <w:proofErr w:type="gramEnd"/>
      <w:r w:rsidRPr="00554CC2">
        <w:rPr>
          <w:rFonts w:asciiTheme="minorHAnsi" w:hAnsiTheme="minorHAnsi"/>
        </w:rPr>
        <w:t xml:space="preserve"> o la necesidad de escalado por falta de actuación.</w:t>
      </w:r>
    </w:p>
    <w:p w:rsidR="009437F5" w:rsidRPr="00554CC2" w:rsidRDefault="009437F5" w:rsidP="009437F5">
      <w:pPr>
        <w:rPr>
          <w:rFonts w:asciiTheme="minorHAnsi" w:hAnsiTheme="minorHAnsi"/>
        </w:rPr>
      </w:pPr>
      <w:r w:rsidRPr="00554CC2">
        <w:rPr>
          <w:rFonts w:asciiTheme="minorHAnsi" w:hAnsiTheme="minorHAnsi"/>
        </w:rP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Pr="00554CC2" w:rsidRDefault="009437F5" w:rsidP="009437F5">
      <w:pPr>
        <w:rPr>
          <w:rFonts w:asciiTheme="minorHAnsi" w:hAnsiTheme="minorHAnsi"/>
        </w:rPr>
      </w:pPr>
      <w:r w:rsidRPr="00554CC2">
        <w:rPr>
          <w:rFonts w:asciiTheme="minorHAnsi" w:hAnsiTheme="minorHAnsi"/>
        </w:rP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Pr="00554CC2" w:rsidRDefault="009437F5" w:rsidP="009437F5">
      <w:pPr>
        <w:rPr>
          <w:rFonts w:asciiTheme="minorHAnsi" w:hAnsiTheme="minorHAnsi"/>
        </w:rPr>
      </w:pPr>
      <w:r w:rsidRPr="00554CC2">
        <w:rPr>
          <w:rFonts w:asciiTheme="minorHAnsi" w:hAnsiTheme="minorHAnsi"/>
        </w:rPr>
        <w:t>Por lo tanto, sí se cumple.</w:t>
      </w:r>
    </w:p>
    <w:p w:rsidR="009437F5" w:rsidRPr="00554CC2" w:rsidRDefault="009437F5" w:rsidP="00DA5F75">
      <w:pPr>
        <w:numPr>
          <w:ilvl w:val="0"/>
          <w:numId w:val="10"/>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han registrado actividades para la aseguración de la calidad de los productos.</w:t>
      </w:r>
    </w:p>
    <w:p w:rsidR="009437F5" w:rsidRPr="00554CC2" w:rsidRDefault="009437F5" w:rsidP="009437F5">
      <w:pPr>
        <w:rPr>
          <w:rFonts w:asciiTheme="minorHAnsi" w:hAnsiTheme="minorHAnsi"/>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Cierto porque durante algunos de los subprocesos se generan </w:t>
      </w:r>
      <w:proofErr w:type="spellStart"/>
      <w:r w:rsidRPr="00554CC2">
        <w:rPr>
          <w:rFonts w:asciiTheme="minorHAnsi" w:hAnsiTheme="minorHAnsi"/>
        </w:rPr>
        <w:t>checklists</w:t>
      </w:r>
      <w:proofErr w:type="spellEnd"/>
      <w:r w:rsidRPr="00554CC2">
        <w:rPr>
          <w:rFonts w:asciiTheme="minorHAnsi" w:hAnsiTheme="minorHAnsi"/>
        </w:rPr>
        <w:t xml:space="preserve"> y métricas para poder evaluar la calidad del producto y se hace específicamente un subproceso de revisión de calidad donde se revisa el proyecto y el producto.</w:t>
      </w:r>
    </w:p>
    <w:p w:rsidR="009437F5" w:rsidRPr="00554CC2" w:rsidRDefault="009437F5" w:rsidP="00554CC2">
      <w:pPr>
        <w:numPr>
          <w:ilvl w:val="0"/>
          <w:numId w:val="11"/>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Si es necesario se modifican las actividades de aseguramiento de la calidad.</w:t>
      </w: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Cierto, porque en todos los subprocesos nos encontramos en sus salidas con un apartado de información adicional para la mejora.</w:t>
      </w:r>
    </w:p>
    <w:p w:rsidR="00554CC2" w:rsidRPr="00554CC2" w:rsidRDefault="00554CC2" w:rsidP="00554CC2">
      <w:pPr>
        <w:ind w:firstLine="0"/>
        <w:rPr>
          <w:rFonts w:asciiTheme="minorHAnsi" w:hAnsiTheme="minorHAnsi"/>
        </w:rPr>
      </w:pPr>
      <w:r w:rsidRPr="00554CC2">
        <w:rPr>
          <w:rFonts w:asciiTheme="minorHAnsi" w:hAnsiTheme="minorHAnsi" w:cstheme="majorHAnsi"/>
          <w:u w:val="single"/>
        </w:rPr>
        <w:t>OBJETIVO GENÉRICO</w:t>
      </w:r>
      <w:r w:rsidRPr="00554CC2">
        <w:rPr>
          <w:rFonts w:asciiTheme="minorHAnsi" w:hAnsiTheme="minorHAnsi" w:cstheme="majorHAnsi"/>
        </w:rPr>
        <w:t xml:space="preserve"> GG2. Institucionalizar un proceso gestionado</w:t>
      </w:r>
    </w:p>
    <w:p w:rsidR="009437F5" w:rsidRPr="00554CC2" w:rsidRDefault="009437F5" w:rsidP="00DA5F75">
      <w:pPr>
        <w:numPr>
          <w:ilvl w:val="0"/>
          <w:numId w:val="12"/>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establecido una política de organización.</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spacing w:after="0" w:line="240" w:lineRule="auto"/>
        <w:textAlignment w:val="center"/>
        <w:rPr>
          <w:rFonts w:asciiTheme="minorHAnsi" w:hAnsiTheme="minorHAnsi"/>
        </w:rPr>
      </w:pPr>
      <w:r w:rsidRPr="00554CC2">
        <w:rPr>
          <w:rFonts w:asciiTheme="minorHAnsi" w:eastAsia="Times New Roman" w:hAnsiTheme="minorHAnsi" w:cs="Calibri"/>
          <w:lang w:eastAsia="es-ES"/>
        </w:rPr>
        <w:t xml:space="preserve">Cierto porque en el subproceso de planificar actividades de la calidad, se afirma que el </w:t>
      </w:r>
      <w:r w:rsidRPr="00554CC2">
        <w:rPr>
          <w:rFonts w:asciiTheme="minorHAnsi" w:hAnsiTheme="minorHAnsi"/>
        </w:rPr>
        <w:t xml:space="preserve">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w:t>
      </w:r>
      <w:r w:rsidRPr="00554CC2">
        <w:rPr>
          <w:rFonts w:asciiTheme="minorHAnsi" w:hAnsiTheme="minorHAnsi"/>
        </w:rPr>
        <w:lastRenderedPageBreak/>
        <w:t xml:space="preserve">la vida del proyecto, esta actividad será complementada con el apoyo continuado al Jefe de Proyecto en las dudas que le puedan surgir durante el desarrollo </w:t>
      </w:r>
      <w:proofErr w:type="gramStart"/>
      <w:r w:rsidRPr="00554CC2">
        <w:rPr>
          <w:rFonts w:asciiTheme="minorHAnsi" w:hAnsiTheme="minorHAnsi"/>
        </w:rPr>
        <w:t>del mismo</w:t>
      </w:r>
      <w:proofErr w:type="gramEnd"/>
      <w:r w:rsidRPr="00554CC2">
        <w:rPr>
          <w:rFonts w:asciiTheme="minorHAnsi" w:hAnsiTheme="minorHAnsi"/>
        </w:rPr>
        <w:t>.</w:t>
      </w:r>
    </w:p>
    <w:p w:rsidR="00554CC2" w:rsidRPr="00554CC2" w:rsidRDefault="00554CC2"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numPr>
          <w:ilvl w:val="0"/>
          <w:numId w:val="13"/>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planificado el proceso.</w:t>
      </w:r>
    </w:p>
    <w:p w:rsidR="009437F5" w:rsidRPr="00554CC2" w:rsidRDefault="009437F5" w:rsidP="00554CC2">
      <w:pPr>
        <w:pStyle w:val="Prrafodelista"/>
        <w:numPr>
          <w:ilvl w:val="0"/>
          <w:numId w:val="14"/>
        </w:numPr>
        <w:spacing w:line="240" w:lineRule="auto"/>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554CC2" w:rsidRPr="00554CC2" w:rsidRDefault="00554CC2" w:rsidP="00554CC2">
      <w:pPr>
        <w:pStyle w:val="Prrafodelista"/>
        <w:numPr>
          <w:ilvl w:val="0"/>
          <w:numId w:val="0"/>
        </w:numPr>
        <w:spacing w:after="160" w:line="256" w:lineRule="auto"/>
        <w:ind w:left="720"/>
        <w:jc w:val="left"/>
        <w:rPr>
          <w:rFonts w:asciiTheme="minorHAnsi" w:hAnsiTheme="minorHAnsi" w:cstheme="majorHAnsi"/>
          <w:b/>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 xml:space="preserve"> Se han proporcionado recursos.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 xml:space="preserve">Sí, puesto que se definen todas las entradas, o lo que es lo mismo, los recursos necesarios para la realización del proceso (Apartado 2.3). </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han asignado responsabilidades.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definen los actores, al igual que las funciones de cada participante (Apartado 5).</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formado al personal.</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menciona en el proyecto una lista de acciones para la formación del personal (Apartado 11).</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controlado los productos de trabajo.</w:t>
      </w:r>
    </w:p>
    <w:p w:rsidR="00554CC2" w:rsidRPr="00554CC2" w:rsidRDefault="00554CC2" w:rsidP="00554CC2">
      <w:pPr>
        <w:pStyle w:val="Prrafodelista"/>
        <w:numPr>
          <w:ilvl w:val="0"/>
          <w:numId w:val="0"/>
        </w:numPr>
        <w:spacing w:line="256" w:lineRule="auto"/>
        <w:ind w:left="72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debido a que existe un subproceso dedicado exclusivamente a que se realice de forma correcta el proceso de la calidad (Apartado 3.8).</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identificado e implicado al personal relevante.</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en cada subproceso de la gestión de la calidad se define en cada momento qué actor entra en qué tarea de cualquier subproceso (Apartado 3).</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coordinado y controlado el proceso.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puesto que se coordinan las revisiones con calidad del cliente, las revisiones con calidad del proveedor, se hace una auditoria de calidad para controlar el proceso, además de distintos controles (Apartado 3.5)</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evaluado la conformidad del proceso frente a sus “adherencias”.</w:t>
      </w:r>
    </w:p>
    <w:p w:rsidR="00554CC2" w:rsidRPr="00554CC2" w:rsidRDefault="00554CC2" w:rsidP="00554CC2">
      <w:pPr>
        <w:ind w:left="360" w:firstLine="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Registro de No Conformidades. Citadas repetidamente a lo largo del documento y realizadas por el Ingeniero de Calidad</w:t>
      </w:r>
    </w:p>
    <w:p w:rsidR="00554CC2" w:rsidRPr="00554CC2" w:rsidRDefault="00554CC2" w:rsidP="00554CC2">
      <w:pPr>
        <w:spacing w:line="259" w:lineRule="auto"/>
        <w:ind w:left="720" w:firstLine="0"/>
        <w:jc w:val="left"/>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revisado el estado del proceso con el “nivel de gestión más alto”.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lastRenderedPageBreak/>
        <w:t>Si, los Procedimientos documentan la implantación de los procesos en el último nivel de detalle. (Apartado 7)</w:t>
      </w:r>
    </w:p>
    <w:p w:rsidR="00CC755A" w:rsidRPr="00B74985" w:rsidRDefault="00CC755A" w:rsidP="00CC755A">
      <w:pPr>
        <w:rPr>
          <w:rFonts w:asciiTheme="minorHAnsi" w:hAnsiTheme="minorHAnsi" w:cstheme="majorHAnsi"/>
        </w:rPr>
      </w:pPr>
      <w:r w:rsidRPr="00B74985">
        <w:rPr>
          <w:rFonts w:asciiTheme="minorHAnsi" w:hAnsiTheme="minorHAnsi" w:cstheme="majorHAnsi"/>
          <w:u w:val="single"/>
        </w:rPr>
        <w:t>OBJETIVO GENÉRICO</w:t>
      </w:r>
      <w:r w:rsidRPr="00B74985">
        <w:rPr>
          <w:rFonts w:asciiTheme="minorHAnsi" w:hAnsiTheme="minorHAnsi" w:cstheme="majorHAnsi"/>
        </w:rPr>
        <w:t xml:space="preserve"> GG3. Institucionalizar un proceso definido.</w:t>
      </w: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establecido un proceso definido.</w:t>
      </w:r>
    </w:p>
    <w:p w:rsidR="00CC755A" w:rsidRPr="00B74985"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el proceso define un modelo sistemático y planificado que permite garantizar que las actividades y productos son conformes a los estándares, procedimientos, planes de proyecto y normas de referencia. (Apartado 3, se revisa en cada fase).</w:t>
      </w:r>
    </w:p>
    <w:p w:rsidR="00CC755A" w:rsidRPr="00B74985" w:rsidRDefault="00CC755A" w:rsidP="00CC755A">
      <w:pPr>
        <w:rPr>
          <w:rFonts w:asciiTheme="minorHAnsi" w:hAnsiTheme="minorHAnsi" w:cstheme="majorHAnsi"/>
          <w:b/>
        </w:rPr>
      </w:pP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recopilado información de la experiencia relacionada con el proceso.</w:t>
      </w:r>
    </w:p>
    <w:p w:rsidR="00B11006" w:rsidRPr="00CC755A"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se almacena una copia de la sesión de formación del proceso en el repositorio de la organización, para uso por el personal de nueva incorporación. (Apartado 3.2, se revisa posteriormente para cada fase).</w:t>
      </w: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CC755A" w:rsidRPr="00B74985" w:rsidRDefault="00CC755A" w:rsidP="00CC755A">
      <w:pPr>
        <w:ind w:firstLine="0"/>
        <w:rPr>
          <w:rFonts w:asciiTheme="minorHAnsi" w:hAnsiTheme="minorHAnsi"/>
        </w:rPr>
      </w:pPr>
      <w:r w:rsidRPr="00B74985">
        <w:rPr>
          <w:rFonts w:asciiTheme="minorHAnsi" w:hAnsiTheme="minorHAnsi"/>
        </w:rPr>
        <w:t xml:space="preserve">Como resultado, la empresa ACME ha conseguido aprobar el </w:t>
      </w:r>
      <w:proofErr w:type="spellStart"/>
      <w:r w:rsidRPr="00B74985">
        <w:rPr>
          <w:rFonts w:asciiTheme="minorHAnsi" w:hAnsiTheme="minorHAnsi"/>
        </w:rPr>
        <w:t>checklist</w:t>
      </w:r>
      <w:proofErr w:type="spellEnd"/>
      <w:r w:rsidRPr="00B74985">
        <w:rPr>
          <w:rFonts w:asciiTheme="minorHAnsi" w:hAnsiTheme="minorHAnsi"/>
        </w:rPr>
        <w:t xml:space="preserve"> propuesto por nosotros. En los objetivos específicos la empresa consigue con éxito la evaluación de los productos, además de saber tratar las no conformidades adecuadamente, escalándolas cuando es necesario, documentándolas y aprendiendo de ellas. Por otra parte, no dejan ninguna disconformidad sin resolver.</w:t>
      </w:r>
    </w:p>
    <w:p w:rsidR="00CC755A" w:rsidRDefault="00CC755A" w:rsidP="00CC755A">
      <w:pPr>
        <w:ind w:firstLine="0"/>
        <w:rPr>
          <w:rFonts w:asciiTheme="minorHAnsi" w:hAnsiTheme="minorHAnsi" w:cstheme="majorHAnsi"/>
        </w:rPr>
      </w:pPr>
      <w:r w:rsidRPr="00B74985">
        <w:rPr>
          <w:rFonts w:asciiTheme="minorHAnsi" w:hAnsiTheme="minorHAnsi"/>
        </w:rPr>
        <w:t xml:space="preserve">Otra cosa que cumple la empresa ACME es la institucionalización de los procesos, ya que son capaces de establecer una fuerte política de organización. Son capaces de planificar los procesos además de asignarles recursos y responsabilidades a estos. Igualmente, ACME es capaz de establecer un proceso bien definido al </w:t>
      </w:r>
      <w:r w:rsidRPr="00B74985">
        <w:rPr>
          <w:rFonts w:asciiTheme="minorHAnsi" w:hAnsiTheme="minorHAnsi" w:cstheme="majorHAnsi"/>
        </w:rPr>
        <w:t>definir un modelo sistemático y planificado que permite garantizar que las actividades y productos son conformes a los estándares</w:t>
      </w:r>
      <w:r>
        <w:rPr>
          <w:rFonts w:asciiTheme="minorHAnsi" w:hAnsiTheme="minorHAnsi" w:cstheme="majorHAnsi"/>
        </w:rPr>
        <w:t>.</w:t>
      </w:r>
    </w:p>
    <w:p w:rsidR="00B11006" w:rsidRPr="00CC755A" w:rsidRDefault="00CC755A" w:rsidP="00B11006">
      <w:pPr>
        <w:ind w:firstLine="0"/>
        <w:rPr>
          <w:rFonts w:asciiTheme="minorHAnsi" w:hAnsiTheme="minorHAnsi"/>
        </w:rPr>
      </w:pPr>
      <w:r>
        <w:rPr>
          <w:rFonts w:asciiTheme="minorHAnsi" w:hAnsiTheme="minorHAnsi"/>
        </w:rPr>
        <w:t>Por último, la empresa recopila información de la experiencia para que la empresa crezca y sea capaz de aprender de los errores anteriores. Por todo esto la empresa ACME ha conseguido pasar con éxito la prueba de evaluación propuesta por nosotros.</w:t>
      </w:r>
    </w:p>
    <w:p w:rsidR="00B11006" w:rsidRDefault="00B11006" w:rsidP="00B11006">
      <w:pPr>
        <w:ind w:firstLine="0"/>
        <w:rPr>
          <w:b/>
        </w:rPr>
      </w:pPr>
      <w:r w:rsidRPr="00B11006">
        <w:rPr>
          <w:b/>
        </w:rPr>
        <w:t>3.5.2 Nivel de capacidad alcanzado en PPQA.</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 xml:space="preserve">Para determinar el nivel de capacidad del proceso de aseguramiento de la calidad se debe comprobar que dicho proceso cumple una serie de requisitos.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lastRenderedPageBreak/>
        <w:t xml:space="preserve">Estos requisitos se distribuyen en tres categorías, las cuales corresponden a cada uno de los niveles de capacidad del proceso.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 xml:space="preserve">La cumplimentación de estos requisitos indicará el nivel de capacidad. Por lo tanto, si un proceso queremos que esté en un nivel de capacidad 2, éste deberá cumplir con los objetivos generales 1 y 2.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En nuestro caso, nuestro proceso de aseguramiento de la calidad cumple con todos los requisitos tanto del objetivo general 1, como del 2 y del 3. Por lo tanto, podemos decir con claridad que el proceso cumple con un nivel 3 de capacidad.</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fuertes:</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Organización, gestión y planificación de los procesos y recursos necesarios para la creación de un producto.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Flexibilidad en tiempo y forma para resolver posibles contratiempos en su realización.</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Control y seguimiento en todo momento de cada proceso que se lleva a cabo.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Reparto de funciones y responsabilidades de los miembros implicados en el proceso.</w:t>
      </w:r>
    </w:p>
    <w:p w:rsidR="005A2B37" w:rsidRPr="00083A9F" w:rsidRDefault="005A2B37" w:rsidP="005A2B37">
      <w:pPr>
        <w:pStyle w:val="Prrafodelista"/>
        <w:numPr>
          <w:ilvl w:val="0"/>
          <w:numId w:val="0"/>
        </w:numPr>
        <w:spacing w:line="259" w:lineRule="auto"/>
        <w:ind w:left="720"/>
        <w:jc w:val="left"/>
        <w:rPr>
          <w:rFonts w:ascii="Calibri" w:hAnsi="Calibri" w:cs="Calibri"/>
          <w:lang w:eastAsia="es-ES"/>
        </w:rPr>
      </w:pP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débiles:</w:t>
      </w:r>
    </w:p>
    <w:p w:rsidR="005A2B37" w:rsidRPr="005A2B37" w:rsidRDefault="005A2B37" w:rsidP="005A2B37">
      <w:pPr>
        <w:pStyle w:val="Prrafodelista"/>
        <w:numPr>
          <w:ilvl w:val="0"/>
          <w:numId w:val="16"/>
        </w:numPr>
        <w:spacing w:line="259" w:lineRule="auto"/>
        <w:jc w:val="left"/>
        <w:rPr>
          <w:rFonts w:ascii="Calibri" w:hAnsi="Calibri" w:cs="Calibri"/>
          <w:lang w:eastAsia="es-ES"/>
        </w:rPr>
      </w:pPr>
      <w:r w:rsidRPr="00083A9F">
        <w:rPr>
          <w:rFonts w:ascii="Calibri" w:hAnsi="Calibri" w:cs="Calibri"/>
          <w:lang w:eastAsia="es-ES"/>
        </w:rPr>
        <w:t>Poca formación al respecto. Lo que deja en entrever una falta de continuidad en la formación de los trabajadores.</w:t>
      </w: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rsidR="005166F0" w:rsidRPr="005166F0" w:rsidRDefault="005166F0" w:rsidP="005166F0">
      <w:pPr>
        <w:pStyle w:val="Prrafodelista"/>
        <w:numPr>
          <w:ilvl w:val="0"/>
          <w:numId w:val="0"/>
        </w:numPr>
        <w:ind w:left="360"/>
        <w:rPr>
          <w:rFonts w:ascii="Arial Narrow" w:hAnsi="Arial Narrow"/>
          <w:sz w:val="24"/>
          <w:szCs w:val="24"/>
        </w:rPr>
      </w:pPr>
      <w:bookmarkStart w:id="5" w:name="_Toc535392816"/>
      <w:r w:rsidRPr="005166F0">
        <w:rPr>
          <w:rFonts w:ascii="Arial Narrow" w:hAnsi="Arial Narrow"/>
          <w:sz w:val="24"/>
          <w:szCs w:val="24"/>
        </w:rPr>
        <w:t>Tras la realización de la evaluación de cómo la empresa ACME realiza el aseguramiento de la calidad, hemos llegado a la conclusión de que el proceso cumple con los requerimientos necesarios como para tener un nivel 3 de capacidad. Esto quiere decir que no solo está realizado y gestionado, sino que además está definido.</w:t>
      </w:r>
    </w:p>
    <w:p w:rsidR="005166F0" w:rsidRDefault="005166F0" w:rsidP="005166F0">
      <w:pPr>
        <w:pStyle w:val="Prrafodelista"/>
        <w:numPr>
          <w:ilvl w:val="0"/>
          <w:numId w:val="0"/>
        </w:numPr>
        <w:ind w:left="360"/>
        <w:rPr>
          <w:rFonts w:ascii="Arial Narrow" w:hAnsi="Arial Narrow"/>
          <w:sz w:val="24"/>
          <w:szCs w:val="24"/>
        </w:rPr>
      </w:pPr>
    </w:p>
    <w:p w:rsidR="005166F0" w:rsidRPr="005166F0" w:rsidRDefault="005166F0" w:rsidP="005166F0">
      <w:pPr>
        <w:pStyle w:val="Prrafodelista"/>
        <w:numPr>
          <w:ilvl w:val="0"/>
          <w:numId w:val="0"/>
        </w:numPr>
        <w:ind w:left="360"/>
        <w:rPr>
          <w:rFonts w:ascii="Arial Narrow" w:hAnsi="Arial Narrow"/>
          <w:sz w:val="24"/>
          <w:szCs w:val="24"/>
        </w:rPr>
      </w:pPr>
      <w:r w:rsidRPr="005166F0">
        <w:rPr>
          <w:rFonts w:ascii="Arial Narrow" w:hAnsi="Arial Narrow"/>
          <w:sz w:val="24"/>
          <w:szCs w:val="24"/>
        </w:rPr>
        <w:t xml:space="preserve">Todo esto está hecho de forma que todo proyecto de la empresa sigue estos métodos para la realización del aseguramiento de la calidad. Sin embargo, aunque esté todo definido, encontramos que quizás el aspecto de la formación de los trabajadores podría estar un poco más definida, debido a la falta de profundidad en este aspecto. </w:t>
      </w:r>
    </w:p>
    <w:p w:rsidR="00CA434A" w:rsidRPr="00592244" w:rsidRDefault="00006DCE" w:rsidP="00DA5F75">
      <w:pPr>
        <w:pStyle w:val="Ttulo1"/>
        <w:numPr>
          <w:ilvl w:val="0"/>
          <w:numId w:val="4"/>
        </w:numPr>
        <w:rPr>
          <w:rFonts w:ascii="Arial Narrow" w:hAnsi="Arial Narrow"/>
          <w:b/>
          <w:szCs w:val="24"/>
        </w:rPr>
      </w:pPr>
      <w:r w:rsidRPr="00592244">
        <w:rPr>
          <w:rFonts w:ascii="Arial Narrow" w:hAnsi="Arial Narrow"/>
          <w:b/>
          <w:szCs w:val="24"/>
        </w:rPr>
        <w:lastRenderedPageBreak/>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91E" w:rsidRDefault="0037691E" w:rsidP="00A5303B">
      <w:r>
        <w:separator/>
      </w:r>
    </w:p>
  </w:endnote>
  <w:endnote w:type="continuationSeparator" w:id="0">
    <w:p w:rsidR="0037691E" w:rsidRDefault="0037691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91E" w:rsidRDefault="0037691E" w:rsidP="00A5303B">
      <w:r>
        <w:separator/>
      </w:r>
    </w:p>
  </w:footnote>
  <w:footnote w:type="continuationSeparator" w:id="0">
    <w:p w:rsidR="0037691E" w:rsidRDefault="0037691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507"/>
    <w:multiLevelType w:val="hybridMultilevel"/>
    <w:tmpl w:val="6ECC1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30C93"/>
    <w:multiLevelType w:val="multilevel"/>
    <w:tmpl w:val="08B0BB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85C91"/>
    <w:multiLevelType w:val="hybridMultilevel"/>
    <w:tmpl w:val="46E0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183726"/>
    <w:multiLevelType w:val="multilevel"/>
    <w:tmpl w:val="99B8A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C26FAF"/>
    <w:multiLevelType w:val="multilevel"/>
    <w:tmpl w:val="498022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05F"/>
    <w:multiLevelType w:val="multilevel"/>
    <w:tmpl w:val="C7FA7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E627DB"/>
    <w:multiLevelType w:val="hybridMultilevel"/>
    <w:tmpl w:val="A3F444C6"/>
    <w:lvl w:ilvl="0" w:tplc="45AE9F10">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5" w15:restartNumberingAfterBreak="0">
    <w:nsid w:val="718F3A38"/>
    <w:multiLevelType w:val="multilevel"/>
    <w:tmpl w:val="FB7088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7"/>
  </w:num>
  <w:num w:numId="5">
    <w:abstractNumId w:val="3"/>
  </w:num>
  <w:num w:numId="6">
    <w:abstractNumId w:val="4"/>
  </w:num>
  <w:num w:numId="7">
    <w:abstractNumId w:val="13"/>
  </w:num>
  <w:num w:numId="8">
    <w:abstractNumId w:val="5"/>
  </w:num>
  <w:num w:numId="9">
    <w:abstractNumId w:val="6"/>
  </w:num>
  <w:num w:numId="10">
    <w:abstractNumId w:val="1"/>
  </w:num>
  <w:num w:numId="11">
    <w:abstractNumId w:val="12"/>
  </w:num>
  <w:num w:numId="12">
    <w:abstractNumId w:val="15"/>
  </w:num>
  <w:num w:numId="13">
    <w:abstractNumId w:val="11"/>
  </w:num>
  <w:num w:numId="14">
    <w:abstractNumId w:val="14"/>
  </w:num>
  <w:num w:numId="15">
    <w:abstractNumId w:val="2"/>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573"/>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691E"/>
    <w:rsid w:val="003772C3"/>
    <w:rsid w:val="0038320C"/>
    <w:rsid w:val="003A685B"/>
    <w:rsid w:val="003C0EDE"/>
    <w:rsid w:val="003C3877"/>
    <w:rsid w:val="003C7519"/>
    <w:rsid w:val="003D10C2"/>
    <w:rsid w:val="003D112C"/>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66F0"/>
    <w:rsid w:val="00517429"/>
    <w:rsid w:val="005273A7"/>
    <w:rsid w:val="00540E9A"/>
    <w:rsid w:val="00547A07"/>
    <w:rsid w:val="00552526"/>
    <w:rsid w:val="00554CC2"/>
    <w:rsid w:val="0057242D"/>
    <w:rsid w:val="005761D6"/>
    <w:rsid w:val="00581266"/>
    <w:rsid w:val="00585315"/>
    <w:rsid w:val="00585D98"/>
    <w:rsid w:val="00592244"/>
    <w:rsid w:val="00594E81"/>
    <w:rsid w:val="0059678C"/>
    <w:rsid w:val="005A1D2F"/>
    <w:rsid w:val="005A2B37"/>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44F9"/>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C755A"/>
    <w:rsid w:val="00CD7592"/>
    <w:rsid w:val="00CE44EC"/>
    <w:rsid w:val="00CE5B55"/>
    <w:rsid w:val="00CE6188"/>
    <w:rsid w:val="00CE7983"/>
    <w:rsid w:val="00CE7E32"/>
    <w:rsid w:val="00D000F1"/>
    <w:rsid w:val="00D01783"/>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C1EA5"/>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B5DED"/>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29B4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2C2661"/>
    <w:rsid w:val="00307F58"/>
    <w:rsid w:val="003D5373"/>
    <w:rsid w:val="00470C35"/>
    <w:rsid w:val="004E3E04"/>
    <w:rsid w:val="0057048F"/>
    <w:rsid w:val="006A3BAF"/>
    <w:rsid w:val="006B40BC"/>
    <w:rsid w:val="007C0FCF"/>
    <w:rsid w:val="00827A29"/>
    <w:rsid w:val="00A10673"/>
    <w:rsid w:val="00A52E80"/>
    <w:rsid w:val="00B51B10"/>
    <w:rsid w:val="00BC5390"/>
    <w:rsid w:val="00D618B6"/>
    <w:rsid w:val="00E10C7E"/>
    <w:rsid w:val="00ED7CE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06536-2750-4F42-B8EE-ED14EB84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2813</Words>
  <Characters>15475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jose antonio</cp:lastModifiedBy>
  <cp:revision>12</cp:revision>
  <dcterms:created xsi:type="dcterms:W3CDTF">2019-01-16T08:07:00Z</dcterms:created>
  <dcterms:modified xsi:type="dcterms:W3CDTF">2019-01-20T21:52:00Z</dcterms:modified>
</cp:coreProperties>
</file>