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993488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93488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Default="0099348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6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los objetivos</w:t>
      </w:r>
      <w:r w:rsidR="007567AA" w:rsidRPr="00592244">
        <w:rPr>
          <w:rFonts w:ascii="Arial Narrow" w:hAnsi="Arial Narrow"/>
          <w:sz w:val="24"/>
          <w:szCs w:val="24"/>
        </w:rPr>
        <w:t xml:space="preserve"> de </w:t>
      </w:r>
      <w:proofErr w:type="spellStart"/>
      <w:r w:rsidR="007567AA" w:rsidRPr="00592244">
        <w:rPr>
          <w:rFonts w:ascii="Arial Narrow" w:hAnsi="Arial Narrow"/>
          <w:sz w:val="24"/>
          <w:szCs w:val="24"/>
        </w:rPr>
        <w:t>a</w:t>
      </w:r>
      <w:proofErr w:type="spellEnd"/>
      <w:r w:rsidR="007567AA" w:rsidRPr="00592244">
        <w:rPr>
          <w:rFonts w:ascii="Arial Narrow" w:hAnsi="Arial Narrow"/>
          <w:sz w:val="24"/>
          <w:szCs w:val="24"/>
        </w:rPr>
        <w:t xml:space="preserve">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441436837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4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4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441436838"/>
      <w:r w:rsidRPr="00592244">
        <w:rPr>
          <w:rFonts w:ascii="Arial Narrow" w:hAnsi="Arial Narrow"/>
          <w:b/>
          <w:szCs w:val="24"/>
        </w:rPr>
        <w:t>Sección</w:t>
      </w:r>
      <w:r w:rsidR="0012018D">
        <w:rPr>
          <w:rFonts w:ascii="Arial Narrow" w:hAnsi="Arial Narrow"/>
          <w:b/>
          <w:szCs w:val="24"/>
        </w:rPr>
        <w:t xml:space="preserve"> </w:t>
      </w:r>
      <w:r w:rsidRPr="00592244">
        <w:rPr>
          <w:rFonts w:ascii="Arial Narrow" w:hAnsi="Arial Narrow"/>
          <w:b/>
          <w:szCs w:val="24"/>
        </w:rPr>
        <w:t>1</w:t>
      </w:r>
      <w:bookmarkEnd w:id="5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6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441436839"/>
      <w:r w:rsidRPr="00592244">
        <w:rPr>
          <w:rFonts w:ascii="Arial Narrow" w:hAnsi="Arial Narrow"/>
          <w:b/>
          <w:szCs w:val="24"/>
        </w:rPr>
        <w:lastRenderedPageBreak/>
        <w:t>Sección 2</w:t>
      </w:r>
      <w:bookmarkEnd w:id="7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9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0" w:name="_Toc4414368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1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1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4"/>
      <w:r w:rsidRPr="00592244">
        <w:rPr>
          <w:rFonts w:ascii="Arial Narrow" w:hAnsi="Arial Narrow"/>
          <w:b/>
          <w:szCs w:val="24"/>
        </w:rPr>
        <w:t>Anexo</w:t>
      </w:r>
      <w:bookmarkEnd w:id="12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5"/>
      <w:r w:rsidRPr="00592244">
        <w:rPr>
          <w:rFonts w:ascii="Arial Narrow" w:hAnsi="Arial Narrow"/>
          <w:b/>
          <w:szCs w:val="24"/>
        </w:rPr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441436846"/>
      <w:r w:rsidRPr="00592244">
        <w:rPr>
          <w:rFonts w:ascii="Arial Narrow" w:hAnsi="Arial Narrow"/>
          <w:b/>
          <w:szCs w:val="24"/>
        </w:rPr>
        <w:t>Anexo</w:t>
      </w:r>
      <w:bookmarkEnd w:id="14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488" w:rsidRDefault="00993488" w:rsidP="00A5303B">
      <w:r>
        <w:separator/>
      </w:r>
    </w:p>
  </w:endnote>
  <w:endnote w:type="continuationSeparator" w:id="0">
    <w:p w:rsidR="00993488" w:rsidRDefault="00993488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488" w:rsidRDefault="00993488" w:rsidP="00A5303B">
      <w:r>
        <w:separator/>
      </w:r>
    </w:p>
  </w:footnote>
  <w:footnote w:type="continuationSeparator" w:id="0">
    <w:p w:rsidR="00993488" w:rsidRDefault="00993488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  <w:bookmarkStart w:id="0" w:name="_GoBack"/>
          <w:bookmarkEnd w:id="0"/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4AB01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6A3BAF"/>
    <w:rsid w:val="00827A29"/>
    <w:rsid w:val="00A10673"/>
    <w:rsid w:val="00A52E80"/>
    <w:rsid w:val="00B51B10"/>
    <w:rsid w:val="00BC5390"/>
    <w:rsid w:val="00C22381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0B09F-BB5E-4986-8D67-F08B7169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Usuario</cp:lastModifiedBy>
  <cp:revision>71</cp:revision>
  <dcterms:created xsi:type="dcterms:W3CDTF">2015-06-08T19:48:00Z</dcterms:created>
  <dcterms:modified xsi:type="dcterms:W3CDTF">2018-10-17T14:50:00Z</dcterms:modified>
</cp:coreProperties>
</file>