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R09 — Veille : où chercher et comment qualifier l’information</w:t>
      </w:r>
    </w:p>
    <w:p>
      <w:pPr>
        <w:pStyle w:val="Subtitle"/>
      </w:pPr>
      <w:r>
        <w:rPr>
          <w:color w:val="667985"/>
        </w:rPr>
        <w:t>Ressource de travail — Situation 1, puis réutilisable dans les situations 2, 3 et 5 — sources vérifiées le 8 septembre 2026</w:t>
      </w:r>
    </w:p>
    <w:tbl>
      <w:tblPr>
        <w:tblW w:type="auto" w:w="0"/>
        <w:jc w:val="center"/>
        <w:tblLayout w:type="autofit"/>
        <w:tblLook w:firstColumn="1" w:firstRow="1" w:lastColumn="0" w:lastRow="0" w:noHBand="0" w:noVBand="1" w:val="04A0"/>
      </w:tblPr>
      <w:tblGrid>
        <w:gridCol w:w="10426"/>
      </w:tblGrid>
      <w:tr>
        <w:tc>
          <w:tcPr>
            <w:tcW w:type="dxa" w:w="10426"/>
            <w:shd w:fill="EAF2F6"/>
            <w:tcMar>
              <w:top w:w="140" w:type="dxa"/>
              <w:start w:w="160" w:type="dxa"/>
              <w:bottom w:w="140" w:type="dxa"/>
              <w:end w:w="160" w:type="dxa"/>
            </w:tcMar>
          </w:tcPr>
          <w:p>
            <w:r>
              <w:rPr>
                <w:b/>
                <w:color w:val="315D77"/>
              </w:rPr>
              <w:t>À quoi sert cette fiche ?</w:t>
            </w:r>
            <w:r>
              <w:br/>
              <w:t>Elle fournit des sources de référence et un résumé suffisant pour concevoir un dispositif de veille même sans ordinateur. Pour la situation 1, vous n’avez pas besoin de faire une recherche libre sur Internet : utilisez les éléments ci-dessous. Une vérification en ligne pourra être demandée ensuite par l’enseignant pour actualiser une information ou consulter la source complète.</w:t>
            </w:r>
          </w:p>
        </w:tc>
      </w:tr>
    </w:tbl>
    <w:p>
      <w:pPr>
        <w:spacing w:after="0"/>
      </w:pPr>
    </w:p>
    <w:p>
      <w:pPr>
        <w:pStyle w:val="Heading1"/>
      </w:pPr>
      <w:r>
        <w:t>1. Qualifier avant de surveiller</w:t>
      </w:r>
    </w:p>
    <w:p>
      <w:r>
        <w:t xml:space="preserve">Avant de construire une veille, demandez-vous ce que l’information implique pour la PME. Le statut porte sur </w:t>
      </w:r>
      <w:r>
        <w:rPr>
          <w:b/>
        </w:rPr>
        <w:t>l’exigence, la recommandation ou le dispositif surveillé</w:t>
      </w:r>
      <w:r>
        <w:t>, pas sur le risque lui-même.</w:t>
      </w:r>
    </w:p>
    <w:tbl>
      <w:tblPr>
        <w:tblStyle w:val="TableGrid"/>
        <w:tblW w:type="auto" w:w="0"/>
        <w:jc w:val="center"/>
        <w:tblLayout w:type="fixed"/>
        <w:tblLook w:firstColumn="1" w:firstRow="1" w:lastColumn="0" w:lastRow="0" w:noHBand="0" w:noVBand="1" w:val="04A0"/>
      </w:tblPr>
      <w:tblGrid>
        <w:gridCol w:w="5213"/>
        <w:gridCol w:w="5213"/>
      </w:tblGrid>
      <w:tr>
        <w:trPr>
          <w:tblHeader w:val="true"/>
          <w:cantSplit/>
        </w:trPr>
        <w:tc>
          <w:tcPr>
            <w:tcW w:type="dxa" w:w="2948"/>
            <w:shd w:fill="315D77"/>
            <w:vAlign w:val="center"/>
            <w:tcMar>
              <w:top w:w="80" w:type="dxa"/>
              <w:start w:w="90" w:type="dxa"/>
              <w:bottom w:w="80" w:type="dxa"/>
              <w:end w:w="90" w:type="dxa"/>
            </w:tcMar>
          </w:tcPr>
          <w:p>
            <w:r>
              <w:rPr>
                <w:b/>
                <w:color w:val="FFFFFF"/>
                <w:sz w:val="18"/>
              </w:rPr>
              <w:t>Statut possible</w:t>
            </w:r>
          </w:p>
        </w:tc>
        <w:tc>
          <w:tcPr>
            <w:tcW w:type="dxa" w:w="6350"/>
            <w:shd w:fill="315D77"/>
            <w:vAlign w:val="center"/>
            <w:tcMar>
              <w:top w:w="80" w:type="dxa"/>
              <w:start w:w="90" w:type="dxa"/>
              <w:bottom w:w="80" w:type="dxa"/>
              <w:end w:w="90" w:type="dxa"/>
            </w:tcMar>
          </w:tcPr>
          <w:p>
            <w:r>
              <w:rPr>
                <w:b/>
                <w:color w:val="FFFFFF"/>
                <w:sz w:val="18"/>
              </w:rPr>
              <w:t>Comment l’interpréter</w:t>
            </w:r>
          </w:p>
        </w:tc>
      </w:tr>
      <w:tr>
        <w:trPr>
          <w:cantSplit/>
        </w:trPr>
        <w:tc>
          <w:tcPr>
            <w:tcW w:type="dxa" w:w="2948"/>
            <w:tcMar>
              <w:top w:w="75" w:type="dxa"/>
              <w:start w:w="85" w:type="dxa"/>
              <w:bottom w:w="75" w:type="dxa"/>
              <w:end w:w="85" w:type="dxa"/>
            </w:tcMar>
            <w:vAlign w:val="top"/>
          </w:tcPr>
          <w:p>
            <w:r>
              <w:rPr>
                <w:sz w:val="18"/>
              </w:rPr>
              <w:t>Obligation légale / réglementaire</w:t>
            </w:r>
          </w:p>
        </w:tc>
        <w:tc>
          <w:tcPr>
            <w:tcW w:type="dxa" w:w="6350"/>
            <w:tcMar>
              <w:top w:w="75" w:type="dxa"/>
              <w:start w:w="85" w:type="dxa"/>
              <w:bottom w:w="75" w:type="dxa"/>
              <w:end w:w="85" w:type="dxa"/>
            </w:tcMar>
            <w:vAlign w:val="top"/>
          </w:tcPr>
          <w:p>
            <w:r>
              <w:rPr>
                <w:sz w:val="18"/>
              </w:rPr>
              <w:t>La PME doit respecter une règle applicable. Il faut suivre les changements de texte, d’échéance ou de champ d’application.</w:t>
            </w:r>
          </w:p>
        </w:tc>
      </w:tr>
      <w:tr>
        <w:trPr>
          <w:cantSplit/>
        </w:trPr>
        <w:tc>
          <w:tcPr>
            <w:tcW w:type="dxa" w:w="2948"/>
            <w:tcMar>
              <w:top w:w="75" w:type="dxa"/>
              <w:start w:w="85" w:type="dxa"/>
              <w:bottom w:w="75" w:type="dxa"/>
              <w:end w:w="85" w:type="dxa"/>
            </w:tcMar>
            <w:vAlign w:val="top"/>
          </w:tcPr>
          <w:p>
            <w:r>
              <w:rPr>
                <w:sz w:val="18"/>
              </w:rPr>
              <w:t>Recommandation de sécurité</w:t>
            </w:r>
          </w:p>
        </w:tc>
        <w:tc>
          <w:tcPr>
            <w:tcW w:type="dxa" w:w="6350"/>
            <w:tcMar>
              <w:top w:w="75" w:type="dxa"/>
              <w:start w:w="85" w:type="dxa"/>
              <w:bottom w:w="75" w:type="dxa"/>
              <w:end w:w="85" w:type="dxa"/>
            </w:tcMar>
            <w:vAlign w:val="top"/>
          </w:tcPr>
          <w:p>
            <w:r>
              <w:rPr>
                <w:sz w:val="18"/>
              </w:rPr>
              <w:t>Il ne s’agit pas nécessairement d’une obligation, mais d’une bonne pratique proposée par une autorité ou un organisme compétent.</w:t>
            </w:r>
          </w:p>
        </w:tc>
      </w:tr>
      <w:tr>
        <w:trPr>
          <w:cantSplit/>
        </w:trPr>
        <w:tc>
          <w:tcPr>
            <w:tcW w:type="dxa" w:w="2948"/>
            <w:tcMar>
              <w:top w:w="75" w:type="dxa"/>
              <w:start w:w="85" w:type="dxa"/>
              <w:bottom w:w="75" w:type="dxa"/>
              <w:end w:w="85" w:type="dxa"/>
            </w:tcMar>
            <w:vAlign w:val="top"/>
          </w:tcPr>
          <w:p>
            <w:r>
              <w:rPr>
                <w:sz w:val="18"/>
              </w:rPr>
              <w:t>Certification volontaire</w:t>
            </w:r>
          </w:p>
        </w:tc>
        <w:tc>
          <w:tcPr>
            <w:tcW w:type="dxa" w:w="6350"/>
            <w:tcMar>
              <w:top w:w="75" w:type="dxa"/>
              <w:start w:w="85" w:type="dxa"/>
              <w:bottom w:w="75" w:type="dxa"/>
              <w:end w:w="85" w:type="dxa"/>
            </w:tcMar>
            <w:vAlign w:val="top"/>
          </w:tcPr>
          <w:p>
            <w:r>
              <w:rPr>
                <w:sz w:val="18"/>
              </w:rPr>
              <w:t>L’entreprise choisit d’entrer dans une certification et doit ensuite respecter son référentiel pour la conserver.</w:t>
            </w:r>
          </w:p>
        </w:tc>
      </w:tr>
      <w:tr>
        <w:trPr>
          <w:cantSplit/>
        </w:trPr>
        <w:tc>
          <w:tcPr>
            <w:tcW w:type="dxa" w:w="2948"/>
            <w:tcMar>
              <w:top w:w="75" w:type="dxa"/>
              <w:start w:w="85" w:type="dxa"/>
              <w:bottom w:w="75" w:type="dxa"/>
              <w:end w:w="85" w:type="dxa"/>
            </w:tcMar>
            <w:vAlign w:val="top"/>
          </w:tcPr>
          <w:p>
            <w:r>
              <w:rPr>
                <w:sz w:val="18"/>
              </w:rPr>
              <w:t>Autre dispositif volontaire</w:t>
            </w:r>
          </w:p>
        </w:tc>
        <w:tc>
          <w:tcPr>
            <w:tcW w:type="dxa" w:w="6350"/>
            <w:tcMar>
              <w:top w:w="75" w:type="dxa"/>
              <w:start w:w="85" w:type="dxa"/>
              <w:bottom w:w="75" w:type="dxa"/>
              <w:end w:w="85" w:type="dxa"/>
            </w:tcMar>
            <w:vAlign w:val="top"/>
          </w:tcPr>
          <w:p>
            <w:r>
              <w:rPr>
                <w:sz w:val="18"/>
              </w:rPr>
              <w:t>L’entreprise peut choisir d’utiliser un dispositif encadré, sans obligation générale de le faire.</w:t>
            </w:r>
          </w:p>
        </w:tc>
      </w:tr>
    </w:tbl>
    <w:p>
      <w:pPr>
        <w:pStyle w:val="Heading1"/>
      </w:pPr>
      <w:r>
        <w:t>2. Sources et informations utiles au cas 1083</w:t>
      </w:r>
    </w:p>
    <w:tbl>
      <w:tblPr>
        <w:tblStyle w:val="TableGrid"/>
        <w:tblW w:type="auto" w:w="0"/>
        <w:jc w:val="center"/>
        <w:tblLayout w:type="fixed"/>
        <w:tblLook w:firstColumn="1" w:firstRow="1" w:lastColumn="0" w:lastRow="0" w:noHBand="0" w:noVBand="1" w:val="04A0"/>
      </w:tblPr>
      <w:tblGrid>
        <w:gridCol w:w="2606"/>
        <w:gridCol w:w="2606"/>
        <w:gridCol w:w="2606"/>
        <w:gridCol w:w="2606"/>
      </w:tblGrid>
      <w:tr>
        <w:trPr>
          <w:tblHeader w:val="true"/>
          <w:cantSplit/>
        </w:trPr>
        <w:tc>
          <w:tcPr>
            <w:tcW w:type="dxa" w:w="1701"/>
            <w:shd w:fill="315D77"/>
            <w:vAlign w:val="center"/>
            <w:tcMar>
              <w:top w:w="80" w:type="dxa"/>
              <w:start w:w="90" w:type="dxa"/>
              <w:bottom w:w="80" w:type="dxa"/>
              <w:end w:w="90" w:type="dxa"/>
            </w:tcMar>
          </w:tcPr>
          <w:p>
            <w:r>
              <w:rPr>
                <w:b/>
                <w:color w:val="FFFFFF"/>
                <w:sz w:val="14"/>
              </w:rPr>
              <w:t>Sujet</w:t>
            </w:r>
          </w:p>
        </w:tc>
        <w:tc>
          <w:tcPr>
            <w:tcW w:type="dxa" w:w="1928"/>
            <w:shd w:fill="315D77"/>
            <w:vAlign w:val="center"/>
            <w:tcMar>
              <w:top w:w="80" w:type="dxa"/>
              <w:start w:w="90" w:type="dxa"/>
              <w:bottom w:w="80" w:type="dxa"/>
              <w:end w:w="90" w:type="dxa"/>
            </w:tcMar>
          </w:tcPr>
          <w:p>
            <w:r>
              <w:rPr>
                <w:b/>
                <w:color w:val="FFFFFF"/>
                <w:sz w:val="14"/>
              </w:rPr>
              <w:t>Source / nature</w:t>
            </w:r>
          </w:p>
        </w:tc>
        <w:tc>
          <w:tcPr>
            <w:tcW w:type="dxa" w:w="3969"/>
            <w:shd w:fill="315D77"/>
            <w:vAlign w:val="center"/>
            <w:tcMar>
              <w:top w:w="80" w:type="dxa"/>
              <w:start w:w="90" w:type="dxa"/>
              <w:bottom w:w="80" w:type="dxa"/>
              <w:end w:w="90" w:type="dxa"/>
            </w:tcMar>
          </w:tcPr>
          <w:p>
            <w:r>
              <w:rPr>
                <w:b/>
                <w:color w:val="FFFFFF"/>
                <w:sz w:val="14"/>
              </w:rPr>
              <w:t>Ce que la source indique</w:t>
            </w:r>
          </w:p>
        </w:tc>
        <w:tc>
          <w:tcPr>
            <w:tcW w:type="dxa" w:w="2324"/>
            <w:shd w:fill="315D77"/>
            <w:vAlign w:val="center"/>
            <w:tcMar>
              <w:top w:w="80" w:type="dxa"/>
              <w:start w:w="90" w:type="dxa"/>
              <w:bottom w:w="80" w:type="dxa"/>
              <w:end w:w="90" w:type="dxa"/>
            </w:tcMar>
          </w:tcPr>
          <w:p>
            <w:r>
              <w:rPr>
                <w:b/>
                <w:color w:val="FFFFFF"/>
                <w:sz w:val="14"/>
              </w:rPr>
              <w:t>Adresse</w:t>
            </w:r>
          </w:p>
        </w:tc>
      </w:tr>
      <w:tr>
        <w:trPr>
          <w:cantSplit/>
        </w:trPr>
        <w:tc>
          <w:tcPr>
            <w:tcW w:type="dxa" w:w="1701"/>
            <w:tcMar>
              <w:top w:w="75" w:type="dxa"/>
              <w:start w:w="85" w:type="dxa"/>
              <w:bottom w:w="75" w:type="dxa"/>
              <w:end w:w="85" w:type="dxa"/>
            </w:tcMar>
            <w:vAlign w:val="top"/>
          </w:tcPr>
          <w:p>
            <w:r>
              <w:rPr>
                <w:sz w:val="14"/>
              </w:rPr>
              <w:t>Santé-sécurité / DUERP</w:t>
            </w:r>
          </w:p>
        </w:tc>
        <w:tc>
          <w:tcPr>
            <w:tcW w:type="dxa" w:w="1928"/>
            <w:tcMar>
              <w:top w:w="75" w:type="dxa"/>
              <w:start w:w="85" w:type="dxa"/>
              <w:bottom w:w="75" w:type="dxa"/>
              <w:end w:w="85" w:type="dxa"/>
            </w:tcMar>
            <w:vAlign w:val="top"/>
          </w:tcPr>
          <w:p>
            <w:r>
              <w:rPr>
                <w:sz w:val="14"/>
              </w:rPr>
              <w:t>Ministère du Travail — source institutionnelle</w:t>
            </w:r>
          </w:p>
        </w:tc>
        <w:tc>
          <w:tcPr>
            <w:tcW w:type="dxa" w:w="3969"/>
            <w:tcMar>
              <w:top w:w="75" w:type="dxa"/>
              <w:start w:w="85" w:type="dxa"/>
              <w:bottom w:w="75" w:type="dxa"/>
              <w:end w:w="85" w:type="dxa"/>
            </w:tcMar>
            <w:vAlign w:val="top"/>
          </w:tcPr>
          <w:p>
            <w:r>
              <w:rPr>
                <w:sz w:val="14"/>
              </w:rPr>
              <w:t>L’employeur doit évaluer les risques et les transcrire dans le DUERP. Mise à jour au moins annuelle à partir de 11 salariés, lors d’un aménagement important ou lorsqu’une information nouvelle sur un risque apparaît. Les versions sont conservées 40 ans.</w:t>
            </w:r>
          </w:p>
        </w:tc>
        <w:tc>
          <w:tcPr>
            <w:tcW w:type="dxa" w:w="2324"/>
            <w:tcMar>
              <w:top w:w="75" w:type="dxa"/>
              <w:start w:w="85" w:type="dxa"/>
              <w:bottom w:w="75" w:type="dxa"/>
              <w:end w:w="85" w:type="dxa"/>
            </w:tcMar>
            <w:vAlign w:val="top"/>
          </w:tcPr>
          <w:p>
            <w:r>
              <w:rPr>
                <w:sz w:val="14"/>
              </w:rPr>
              <w:t>https://travail-emploi.gouv.fr/le-document-unique-devaluation-des-risques-professionnels-duerp</w:t>
            </w:r>
          </w:p>
        </w:tc>
      </w:tr>
      <w:tr>
        <w:trPr>
          <w:cantSplit/>
        </w:trPr>
        <w:tc>
          <w:tcPr>
            <w:tcW w:type="dxa" w:w="1701"/>
            <w:tcMar>
              <w:top w:w="75" w:type="dxa"/>
              <w:start w:w="85" w:type="dxa"/>
              <w:bottom w:w="75" w:type="dxa"/>
              <w:end w:w="85" w:type="dxa"/>
            </w:tcMar>
            <w:vAlign w:val="top"/>
          </w:tcPr>
          <w:p>
            <w:r>
              <w:rPr>
                <w:sz w:val="14"/>
              </w:rPr>
              <w:t>Données personnelles</w:t>
            </w:r>
          </w:p>
        </w:tc>
        <w:tc>
          <w:tcPr>
            <w:tcW w:type="dxa" w:w="1928"/>
            <w:tcMar>
              <w:top w:w="75" w:type="dxa"/>
              <w:start w:w="85" w:type="dxa"/>
              <w:bottom w:w="75" w:type="dxa"/>
              <w:end w:w="85" w:type="dxa"/>
            </w:tcMar>
            <w:vAlign w:val="top"/>
          </w:tcPr>
          <w:p>
            <w:r>
              <w:rPr>
                <w:sz w:val="14"/>
              </w:rPr>
              <w:t>CNIL — autorité administrative indépendante</w:t>
            </w:r>
          </w:p>
        </w:tc>
        <w:tc>
          <w:tcPr>
            <w:tcW w:type="dxa" w:w="3969"/>
            <w:tcMar>
              <w:top w:w="75" w:type="dxa"/>
              <w:start w:w="85" w:type="dxa"/>
              <w:bottom w:w="75" w:type="dxa"/>
              <w:end w:w="85" w:type="dxa"/>
            </w:tcMar>
            <w:vAlign w:val="top"/>
          </w:tcPr>
          <w:p>
            <w:r>
              <w:rPr>
                <w:sz w:val="14"/>
              </w:rPr>
              <w:t>Toute violation doit être documentée. Si elle présente un risque pour les droits et libertés, notification à la CNIL au plus tôt et au plus tard sous 72 h ; en cas de risque élevé, information des personnes concernées également.</w:t>
            </w:r>
          </w:p>
        </w:tc>
        <w:tc>
          <w:tcPr>
            <w:tcW w:type="dxa" w:w="2324"/>
            <w:tcMar>
              <w:top w:w="75" w:type="dxa"/>
              <w:start w:w="85" w:type="dxa"/>
              <w:bottom w:w="75" w:type="dxa"/>
              <w:end w:w="85" w:type="dxa"/>
            </w:tcMar>
            <w:vAlign w:val="top"/>
          </w:tcPr>
          <w:p>
            <w:r>
              <w:rPr>
                <w:sz w:val="14"/>
              </w:rPr>
              <w:t>https://www.cnil.fr/fr/violations-de-donnees-personnelles-les-regles-suivre</w:t>
            </w:r>
          </w:p>
        </w:tc>
      </w:tr>
      <w:tr>
        <w:trPr>
          <w:cantSplit/>
        </w:trPr>
        <w:tc>
          <w:tcPr>
            <w:tcW w:type="dxa" w:w="1701"/>
            <w:tcMar>
              <w:top w:w="75" w:type="dxa"/>
              <w:start w:w="85" w:type="dxa"/>
              <w:bottom w:w="75" w:type="dxa"/>
              <w:end w:w="85" w:type="dxa"/>
            </w:tcMar>
            <w:vAlign w:val="top"/>
          </w:tcPr>
          <w:p>
            <w:r>
              <w:rPr>
                <w:sz w:val="14"/>
              </w:rPr>
              <w:t>Cybersécurité</w:t>
            </w:r>
          </w:p>
        </w:tc>
        <w:tc>
          <w:tcPr>
            <w:tcW w:type="dxa" w:w="1928"/>
            <w:tcMar>
              <w:top w:w="75" w:type="dxa"/>
              <w:start w:w="85" w:type="dxa"/>
              <w:bottom w:w="75" w:type="dxa"/>
              <w:end w:w="85" w:type="dxa"/>
            </w:tcMar>
            <w:vAlign w:val="top"/>
          </w:tcPr>
          <w:p>
            <w:r>
              <w:rPr>
                <w:sz w:val="14"/>
              </w:rPr>
              <w:t>ANSSI / MesServicesCyber — autorité nationale et plateforme institutionnelle</w:t>
            </w:r>
          </w:p>
        </w:tc>
        <w:tc>
          <w:tcPr>
            <w:tcW w:type="dxa" w:w="3969"/>
            <w:tcMar>
              <w:top w:w="75" w:type="dxa"/>
              <w:start w:w="85" w:type="dxa"/>
              <w:bottom w:w="75" w:type="dxa"/>
              <w:end w:w="85" w:type="dxa"/>
            </w:tcMar>
            <w:vAlign w:val="top"/>
          </w:tcPr>
          <w:p>
            <w:r>
              <w:rPr>
                <w:sz w:val="14"/>
              </w:rPr>
              <w:t>Le guide TPE/PME présente des mesures de protection et de préparation : sauvegardes, authentification, messagerie, réaction à incident, etc. Il s’agit de recommandations de sécurité adaptées aux petites entreprises.</w:t>
            </w:r>
          </w:p>
        </w:tc>
        <w:tc>
          <w:tcPr>
            <w:tcW w:type="dxa" w:w="2324"/>
            <w:tcMar>
              <w:top w:w="75" w:type="dxa"/>
              <w:start w:w="85" w:type="dxa"/>
              <w:bottom w:w="75" w:type="dxa"/>
              <w:end w:w="85" w:type="dxa"/>
            </w:tcMar>
            <w:vAlign w:val="top"/>
          </w:tcPr>
          <w:p>
            <w:r>
              <w:rPr>
                <w:sz w:val="14"/>
              </w:rPr>
              <w:t>https://messervices.cyber.gouv.fr/guides/la-cybersecurite-pour-les-tpepme-en-treize-questions</w:t>
            </w:r>
          </w:p>
        </w:tc>
      </w:tr>
      <w:tr>
        <w:trPr>
          <w:cantSplit/>
        </w:trPr>
        <w:tc>
          <w:tcPr>
            <w:tcW w:type="dxa" w:w="1701"/>
            <w:tcMar>
              <w:top w:w="75" w:type="dxa"/>
              <w:start w:w="85" w:type="dxa"/>
              <w:bottom w:w="75" w:type="dxa"/>
              <w:end w:w="85" w:type="dxa"/>
            </w:tcMar>
            <w:vAlign w:val="top"/>
          </w:tcPr>
          <w:p>
            <w:r>
              <w:rPr>
                <w:sz w:val="14"/>
              </w:rPr>
              <w:t>REP textiles</w:t>
            </w:r>
          </w:p>
        </w:tc>
        <w:tc>
          <w:tcPr>
            <w:tcW w:type="dxa" w:w="1928"/>
            <w:tcMar>
              <w:top w:w="75" w:type="dxa"/>
              <w:start w:w="85" w:type="dxa"/>
              <w:bottom w:w="75" w:type="dxa"/>
              <w:end w:w="85" w:type="dxa"/>
            </w:tcMar>
            <w:vAlign w:val="top"/>
          </w:tcPr>
          <w:p>
            <w:r>
              <w:rPr>
                <w:sz w:val="14"/>
              </w:rPr>
              <w:t>ADEME — établissement public</w:t>
            </w:r>
          </w:p>
        </w:tc>
        <w:tc>
          <w:tcPr>
            <w:tcW w:type="dxa" w:w="3969"/>
            <w:tcMar>
              <w:top w:w="75" w:type="dxa"/>
              <w:start w:w="85" w:type="dxa"/>
              <w:bottom w:w="75" w:type="dxa"/>
              <w:end w:w="85" w:type="dxa"/>
            </w:tcMar>
            <w:vAlign w:val="top"/>
          </w:tcPr>
          <w:p>
            <w:r>
              <w:rPr>
                <w:sz w:val="14"/>
              </w:rPr>
              <w:t>Les producteurs concernés doivent se mettre en conformité : adhésion à un éco-organisme ou système individuel agréé, identifiant unique, déclarations annuelles et obligations associées.</w:t>
            </w:r>
          </w:p>
        </w:tc>
        <w:tc>
          <w:tcPr>
            <w:tcW w:type="dxa" w:w="2324"/>
            <w:tcMar>
              <w:top w:w="75" w:type="dxa"/>
              <w:start w:w="85" w:type="dxa"/>
              <w:bottom w:w="75" w:type="dxa"/>
              <w:end w:w="85" w:type="dxa"/>
            </w:tcMar>
            <w:vAlign w:val="top"/>
          </w:tcPr>
          <w:p>
            <w:r>
              <w:rPr>
                <w:sz w:val="14"/>
              </w:rPr>
              <w:t>https://filieres-rep.ademe.fr/principe-et-reglementation/obligations-producteurs</w:t>
            </w:r>
          </w:p>
        </w:tc>
      </w:tr>
      <w:tr>
        <w:trPr>
          <w:cantSplit/>
        </w:trPr>
        <w:tc>
          <w:tcPr>
            <w:tcW w:type="dxa" w:w="1701"/>
            <w:tcMar>
              <w:top w:w="75" w:type="dxa"/>
              <w:start w:w="85" w:type="dxa"/>
              <w:bottom w:w="75" w:type="dxa"/>
              <w:end w:w="85" w:type="dxa"/>
            </w:tcMar>
            <w:vAlign w:val="top"/>
          </w:tcPr>
          <w:p>
            <w:r>
              <w:rPr>
                <w:sz w:val="14"/>
              </w:rPr>
              <w:t>Affichage environnemental textile</w:t>
            </w:r>
          </w:p>
        </w:tc>
        <w:tc>
          <w:tcPr>
            <w:tcW w:type="dxa" w:w="1928"/>
            <w:tcMar>
              <w:top w:w="75" w:type="dxa"/>
              <w:start w:w="85" w:type="dxa"/>
              <w:bottom w:w="75" w:type="dxa"/>
              <w:end w:w="85" w:type="dxa"/>
            </w:tcMar>
            <w:vAlign w:val="top"/>
          </w:tcPr>
          <w:p>
            <w:r>
              <w:rPr>
                <w:sz w:val="14"/>
              </w:rPr>
              <w:t>Ministère de la Transition écologique — source institutionnelle</w:t>
            </w:r>
          </w:p>
        </w:tc>
        <w:tc>
          <w:tcPr>
            <w:tcW w:type="dxa" w:w="3969"/>
            <w:tcMar>
              <w:top w:w="75" w:type="dxa"/>
              <w:start w:w="85" w:type="dxa"/>
              <w:bottom w:w="75" w:type="dxa"/>
              <w:end w:w="85" w:type="dxa"/>
            </w:tcMar>
            <w:vAlign w:val="top"/>
          </w:tcPr>
          <w:p>
            <w:r>
              <w:rPr>
                <w:sz w:val="14"/>
              </w:rPr>
              <w:t>Depuis octobre 2025, les marques peuvent afficher le coût environnemental des vêtements. Le dispositif est encadré réglementairement mais reste volontaire pour les marques.</w:t>
            </w:r>
          </w:p>
        </w:tc>
        <w:tc>
          <w:tcPr>
            <w:tcW w:type="dxa" w:w="2324"/>
            <w:tcMar>
              <w:top w:w="75" w:type="dxa"/>
              <w:start w:w="85" w:type="dxa"/>
              <w:bottom w:w="75" w:type="dxa"/>
              <w:end w:w="85" w:type="dxa"/>
            </w:tcMar>
            <w:vAlign w:val="top"/>
          </w:tcPr>
          <w:p>
            <w:r>
              <w:rPr>
                <w:sz w:val="14"/>
              </w:rPr>
              <w:t>https://www.ecologie.gouv.fr/politiques-publiques/affichage-environnemental-vetements</w:t>
            </w:r>
          </w:p>
        </w:tc>
      </w:tr>
      <w:tr>
        <w:trPr>
          <w:cantSplit/>
        </w:trPr>
        <w:tc>
          <w:tcPr>
            <w:tcW w:type="dxa" w:w="1701"/>
            <w:tcMar>
              <w:top w:w="75" w:type="dxa"/>
              <w:start w:w="85" w:type="dxa"/>
              <w:bottom w:w="75" w:type="dxa"/>
              <w:end w:w="85" w:type="dxa"/>
            </w:tcMar>
            <w:vAlign w:val="top"/>
          </w:tcPr>
          <w:p>
            <w:r>
              <w:rPr>
                <w:sz w:val="14"/>
              </w:rPr>
              <w:t>Origine France Garantie</w:t>
            </w:r>
          </w:p>
        </w:tc>
        <w:tc>
          <w:tcPr>
            <w:tcW w:type="dxa" w:w="1928"/>
            <w:tcMar>
              <w:top w:w="75" w:type="dxa"/>
              <w:start w:w="85" w:type="dxa"/>
              <w:bottom w:w="75" w:type="dxa"/>
              <w:end w:w="85" w:type="dxa"/>
            </w:tcMar>
            <w:vAlign w:val="top"/>
          </w:tcPr>
          <w:p>
            <w:r>
              <w:rPr>
                <w:sz w:val="14"/>
              </w:rPr>
              <w:t>Association Pro France / OFG — organisme porteur de la certification</w:t>
            </w:r>
          </w:p>
        </w:tc>
        <w:tc>
          <w:tcPr>
            <w:tcW w:type="dxa" w:w="3969"/>
            <w:tcMar>
              <w:top w:w="75" w:type="dxa"/>
              <w:start w:w="85" w:type="dxa"/>
              <w:bottom w:w="75" w:type="dxa"/>
              <w:end w:w="85" w:type="dxa"/>
            </w:tcMar>
            <w:vAlign w:val="top"/>
          </w:tcPr>
          <w:p>
            <w:r>
              <w:rPr>
                <w:sz w:val="14"/>
              </w:rPr>
              <w:t>La certification est choisie volontairement. Pour être certifié, le produit doit respecter le référentiel : notamment au moins 50 % du prix de revient unitaire acquis en France et caractéristiques essentielles acquises en France.</w:t>
            </w:r>
          </w:p>
        </w:tc>
        <w:tc>
          <w:tcPr>
            <w:tcW w:type="dxa" w:w="2324"/>
            <w:tcMar>
              <w:top w:w="75" w:type="dxa"/>
              <w:start w:w="85" w:type="dxa"/>
              <w:bottom w:w="75" w:type="dxa"/>
              <w:end w:w="85" w:type="dxa"/>
            </w:tcMar>
            <w:vAlign w:val="top"/>
          </w:tcPr>
          <w:p>
            <w:r>
              <w:rPr>
                <w:sz w:val="14"/>
              </w:rPr>
              <w:t>https://www.originefrancegarantie.fr/cahier-des-charges</w:t>
            </w:r>
          </w:p>
        </w:tc>
      </w:tr>
    </w:tbl>
    <w:p>
      <w:pPr>
        <w:pStyle w:val="Heading1"/>
      </w:pPr>
      <w:r>
        <w:t>3. Comment passer de la source au dispositif de veille</w:t>
      </w:r>
    </w:p>
    <w:p>
      <w:pPr>
        <w:pStyle w:val="ListBullet"/>
        <w:spacing w:after="40"/>
      </w:pPr>
      <w:r>
        <w:t>Reliez d’abord le sujet surveillé à un risque identifié dans votre matrice.</w:t>
      </w:r>
    </w:p>
    <w:p>
      <w:pPr>
        <w:pStyle w:val="ListBullet"/>
        <w:spacing w:after="40"/>
      </w:pPr>
      <w:r>
        <w:t>Qualifiez son statut : obligation, recommandation, certification volontaire ou autre dispositif volontaire.</w:t>
      </w:r>
    </w:p>
    <w:p>
      <w:pPr>
        <w:pStyle w:val="ListBullet"/>
        <w:spacing w:after="40"/>
      </w:pPr>
      <w:r>
        <w:t>Choisissez une source primaire ou institutionnelle chaque fois que possible.</w:t>
      </w:r>
    </w:p>
    <w:p>
      <w:pPr>
        <w:pStyle w:val="ListBullet"/>
        <w:spacing w:after="40"/>
      </w:pPr>
      <w:r>
        <w:t>Définissez ce qui déclenche une alerte : nouvelle règle, nouvelle échéance, changement de référentiel, recommandation majeure, incident, etc.</w:t>
      </w:r>
    </w:p>
    <w:p>
      <w:pPr>
        <w:pStyle w:val="ListBullet"/>
        <w:spacing w:after="40"/>
      </w:pPr>
      <w:r>
        <w:t>Précisez la fréquence de contrôle, le destinataire de l’alerte et la preuve à conserver (lien, copie, date de consultation, synthèse).</w:t>
      </w:r>
    </w:p>
    <w:p>
      <w:pPr>
        <w:pStyle w:val="Heading1"/>
      </w:pPr>
      <w:r>
        <w:t>4. Ce que vous devez éviter</w:t>
      </w:r>
    </w:p>
    <w:p>
      <w:pPr>
        <w:pStyle w:val="ListBullet"/>
        <w:spacing w:after="40"/>
      </w:pPr>
      <w:r>
        <w:t>Confondre une recommandation avec une obligation.</w:t>
      </w:r>
    </w:p>
    <w:p>
      <w:pPr>
        <w:pStyle w:val="ListBullet"/>
        <w:spacing w:after="40"/>
      </w:pPr>
      <w:r>
        <w:t>Présenter un dispositif volontaire comme obligatoire pour toutes les entreprises.</w:t>
      </w:r>
    </w:p>
    <w:p>
      <w:pPr>
        <w:pStyle w:val="ListBullet"/>
        <w:spacing w:after="40"/>
      </w:pPr>
      <w:r>
        <w:t>Utiliser un article secondaire sans vérifier la source de référence lorsqu’elle est disponible.</w:t>
      </w:r>
    </w:p>
    <w:p>
      <w:pPr>
        <w:pStyle w:val="ListBullet"/>
        <w:spacing w:after="40"/>
      </w:pPr>
      <w:r>
        <w:t>Construire une veille sur trop de thèmes : un dispositif doit rester exploitable et lié à une décision ou à un risque réel.</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315D77"/>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C746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w:hAnsi="Aptos"/>
      <w:b/>
      <w:color w:val="315D7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