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R03 — DUERP : extrait de travail, cotation et prévention</w:t>
      </w:r>
    </w:p>
    <w:tbl>
      <w:tblPr>
        <w:tblW w:type="auto" w:w="0"/>
        <w:jc w:val="center"/>
        <w:tblLayout w:type="autofit"/>
        <w:tblLook w:firstColumn="1" w:firstRow="1" w:lastColumn="0" w:lastRow="0" w:noHBand="0" w:noVBand="1" w:val="04A0"/>
      </w:tblPr>
      <w:tblGrid>
        <w:gridCol w:w="10312"/>
      </w:tblGrid>
      <w:tr>
        <w:tc>
          <w:tcPr>
            <w:tcW w:type="dxa" w:w="10312"/>
            <w:shd w:fill="FFF2CC"/>
            <w:vAlign w:val="top"/>
          </w:tcPr>
          <w:p>
            <w:r/>
            <w:r>
              <w:rPr>
                <w:b/>
                <w:sz w:val="18"/>
              </w:rPr>
              <w:t>DOCUMENT CRÉÉ POUR LE TP — les situations, mesures et évaluations ci-dessous sont fictives et ne décrivent pas le DUERP réel de 1083.</w:t>
            </w:r>
          </w:p>
        </w:tc>
      </w:tr>
    </w:tbl>
    <w:p/>
    <w:p>
      <w:pPr>
        <w:pStyle w:val="Heading1"/>
      </w:pPr>
      <w:r>
        <w:t>1. Extrait du DUERP avant réévaluation</w:t>
      </w:r>
    </w:p>
    <w:tbl>
      <w:tblPr>
        <w:tblStyle w:val="TableGrid"/>
        <w:tblW w:type="auto" w:w="0"/>
        <w:jc w:val="center"/>
        <w:tblLook w:firstColumn="1" w:firstRow="1" w:lastColumn="0" w:lastRow="0" w:noHBand="0" w:noVBand="1" w:val="04A0"/>
      </w:tblPr>
      <w:tblGrid>
        <w:gridCol w:w="2062"/>
        <w:gridCol w:w="2062"/>
        <w:gridCol w:w="2062"/>
        <w:gridCol w:w="2062"/>
        <w:gridCol w:w="2062"/>
      </w:tblGrid>
      <w:tr>
        <w:tc>
          <w:tcPr>
            <w:tcW w:type="dxa" w:w="2062"/>
            <w:shd w:fill="315D77"/>
            <w:vAlign w:val="top"/>
          </w:tcPr>
          <w:p>
            <w:r/>
            <w:r>
              <w:rPr>
                <w:b/>
                <w:color w:val="FFFFFF"/>
                <w:sz w:val="16"/>
              </w:rPr>
              <w:t>Unité de travail</w:t>
            </w:r>
          </w:p>
        </w:tc>
        <w:tc>
          <w:tcPr>
            <w:tcW w:type="dxa" w:w="2062"/>
            <w:shd w:fill="315D77"/>
            <w:vAlign w:val="top"/>
          </w:tcPr>
          <w:p>
            <w:r/>
            <w:r>
              <w:rPr>
                <w:b/>
                <w:color w:val="FFFFFF"/>
                <w:sz w:val="16"/>
              </w:rPr>
              <w:t>Danger / situation</w:t>
            </w:r>
          </w:p>
        </w:tc>
        <w:tc>
          <w:tcPr>
            <w:tcW w:type="dxa" w:w="2062"/>
            <w:shd w:fill="315D77"/>
            <w:vAlign w:val="top"/>
          </w:tcPr>
          <w:p>
            <w:r/>
            <w:r>
              <w:rPr>
                <w:b/>
                <w:color w:val="FFFFFF"/>
                <w:sz w:val="16"/>
              </w:rPr>
              <w:t>Risque identifié</w:t>
            </w:r>
          </w:p>
        </w:tc>
        <w:tc>
          <w:tcPr>
            <w:tcW w:type="dxa" w:w="2062"/>
            <w:shd w:fill="315D77"/>
            <w:vAlign w:val="top"/>
          </w:tcPr>
          <w:p>
            <w:r/>
            <w:r>
              <w:rPr>
                <w:b/>
                <w:color w:val="FFFFFF"/>
                <w:sz w:val="16"/>
              </w:rPr>
              <w:t>Mesures existantes</w:t>
            </w:r>
          </w:p>
        </w:tc>
        <w:tc>
          <w:tcPr>
            <w:tcW w:type="dxa" w:w="2062"/>
            <w:shd w:fill="315D77"/>
            <w:vAlign w:val="top"/>
          </w:tcPr>
          <w:p>
            <w:r/>
            <w:r>
              <w:rPr>
                <w:b/>
                <w:color w:val="FFFFFF"/>
                <w:sz w:val="16"/>
              </w:rPr>
              <w:t>Évaluation précédente</w:t>
            </w:r>
          </w:p>
        </w:tc>
      </w:tr>
      <w:tr>
        <w:tc>
          <w:tcPr>
            <w:tcW w:type="dxa" w:w="2062"/>
            <w:vAlign w:val="top"/>
          </w:tcPr>
          <w:p>
            <w:r/>
            <w:r>
              <w:rPr>
                <w:b w:val="0"/>
                <w:sz w:val="16"/>
              </w:rPr>
              <w:t>Atelier coupe</w:t>
            </w:r>
          </w:p>
        </w:tc>
        <w:tc>
          <w:tcPr>
            <w:tcW w:type="dxa" w:w="2062"/>
            <w:vAlign w:val="top"/>
          </w:tcPr>
          <w:p>
            <w:r/>
            <w:r>
              <w:rPr>
                <w:b w:val="0"/>
                <w:sz w:val="16"/>
              </w:rPr>
              <w:t>Machine de coupe et lames</w:t>
            </w:r>
          </w:p>
        </w:tc>
        <w:tc>
          <w:tcPr>
            <w:tcW w:type="dxa" w:w="2062"/>
            <w:vAlign w:val="top"/>
          </w:tcPr>
          <w:p>
            <w:r/>
            <w:r>
              <w:rPr>
                <w:b w:val="0"/>
                <w:sz w:val="16"/>
              </w:rPr>
              <w:t>Coupure / contact avec organe dangereux</w:t>
            </w:r>
          </w:p>
        </w:tc>
        <w:tc>
          <w:tcPr>
            <w:tcW w:type="dxa" w:w="2062"/>
            <w:vAlign w:val="top"/>
          </w:tcPr>
          <w:p>
            <w:r/>
            <w:r>
              <w:rPr>
                <w:b w:val="0"/>
                <w:sz w:val="16"/>
              </w:rPr>
              <w:t>Protecteurs, arrêt d’urgence, consignes</w:t>
            </w:r>
          </w:p>
        </w:tc>
        <w:tc>
          <w:tcPr>
            <w:tcW w:type="dxa" w:w="2062"/>
            <w:vAlign w:val="top"/>
          </w:tcPr>
          <w:p>
            <w:r/>
            <w:r>
              <w:rPr>
                <w:b w:val="0"/>
                <w:sz w:val="16"/>
              </w:rPr>
              <w:t>P=2 ; G=5 ; score 10</w:t>
            </w:r>
          </w:p>
        </w:tc>
      </w:tr>
      <w:tr>
        <w:tc>
          <w:tcPr>
            <w:tcW w:type="dxa" w:w="2062"/>
            <w:vAlign w:val="top"/>
          </w:tcPr>
          <w:p>
            <w:r/>
            <w:r>
              <w:rPr>
                <w:b w:val="0"/>
                <w:sz w:val="16"/>
              </w:rPr>
              <w:t>Atelier confection</w:t>
            </w:r>
          </w:p>
        </w:tc>
        <w:tc>
          <w:tcPr>
            <w:tcW w:type="dxa" w:w="2062"/>
            <w:vAlign w:val="top"/>
          </w:tcPr>
          <w:p>
            <w:r/>
            <w:r>
              <w:rPr>
                <w:b w:val="0"/>
                <w:sz w:val="16"/>
              </w:rPr>
              <w:t>Gestes répétitifs et posture</w:t>
            </w:r>
          </w:p>
        </w:tc>
        <w:tc>
          <w:tcPr>
            <w:tcW w:type="dxa" w:w="2062"/>
            <w:vAlign w:val="top"/>
          </w:tcPr>
          <w:p>
            <w:r/>
            <w:r>
              <w:rPr>
                <w:b w:val="0"/>
                <w:sz w:val="16"/>
              </w:rPr>
              <w:t>TMS</w:t>
            </w:r>
          </w:p>
        </w:tc>
        <w:tc>
          <w:tcPr>
            <w:tcW w:type="dxa" w:w="2062"/>
            <w:vAlign w:val="top"/>
          </w:tcPr>
          <w:p>
            <w:r/>
            <w:r>
              <w:rPr>
                <w:b w:val="0"/>
                <w:sz w:val="16"/>
              </w:rPr>
              <w:t>Sièges réglables, pauses libres</w:t>
            </w:r>
          </w:p>
        </w:tc>
        <w:tc>
          <w:tcPr>
            <w:tcW w:type="dxa" w:w="2062"/>
            <w:vAlign w:val="top"/>
          </w:tcPr>
          <w:p>
            <w:r/>
            <w:r>
              <w:rPr>
                <w:b w:val="0"/>
                <w:sz w:val="16"/>
              </w:rPr>
              <w:t>P=4 ; G=2 ; score 8</w:t>
            </w:r>
          </w:p>
        </w:tc>
      </w:tr>
      <w:tr>
        <w:tc>
          <w:tcPr>
            <w:tcW w:type="dxa" w:w="2062"/>
            <w:vAlign w:val="top"/>
          </w:tcPr>
          <w:p>
            <w:r/>
            <w:r>
              <w:rPr>
                <w:b w:val="0"/>
                <w:sz w:val="16"/>
              </w:rPr>
              <w:t>Réception / stock</w:t>
            </w:r>
          </w:p>
        </w:tc>
        <w:tc>
          <w:tcPr>
            <w:tcW w:type="dxa" w:w="2062"/>
            <w:vAlign w:val="top"/>
          </w:tcPr>
          <w:p>
            <w:r/>
            <w:r>
              <w:rPr>
                <w:b w:val="0"/>
                <w:sz w:val="16"/>
              </w:rPr>
              <w:t>Manutention et circulation</w:t>
            </w:r>
          </w:p>
        </w:tc>
        <w:tc>
          <w:tcPr>
            <w:tcW w:type="dxa" w:w="2062"/>
            <w:vAlign w:val="top"/>
          </w:tcPr>
          <w:p>
            <w:r/>
            <w:r>
              <w:rPr>
                <w:b w:val="0"/>
                <w:sz w:val="16"/>
              </w:rPr>
              <w:t>TMS, heurt, chute d’objet</w:t>
            </w:r>
          </w:p>
        </w:tc>
        <w:tc>
          <w:tcPr>
            <w:tcW w:type="dxa" w:w="2062"/>
            <w:vAlign w:val="top"/>
          </w:tcPr>
          <w:p>
            <w:r/>
            <w:r>
              <w:rPr>
                <w:b w:val="0"/>
                <w:sz w:val="16"/>
              </w:rPr>
              <w:t>Chariots, marquage partiel</w:t>
            </w:r>
          </w:p>
        </w:tc>
        <w:tc>
          <w:tcPr>
            <w:tcW w:type="dxa" w:w="2062"/>
            <w:vAlign w:val="top"/>
          </w:tcPr>
          <w:p>
            <w:r/>
            <w:r>
              <w:rPr>
                <w:b w:val="0"/>
                <w:sz w:val="16"/>
              </w:rPr>
              <w:t>P=3 ; G=3 ; score 9</w:t>
            </w:r>
          </w:p>
        </w:tc>
      </w:tr>
      <w:tr>
        <w:tc>
          <w:tcPr>
            <w:tcW w:type="dxa" w:w="2062"/>
            <w:vAlign w:val="top"/>
          </w:tcPr>
          <w:p>
            <w:r/>
            <w:r>
              <w:rPr>
                <w:b w:val="0"/>
                <w:sz w:val="16"/>
              </w:rPr>
              <w:t>E-commerce / préparation</w:t>
            </w:r>
          </w:p>
        </w:tc>
        <w:tc>
          <w:tcPr>
            <w:tcW w:type="dxa" w:w="2062"/>
            <w:vAlign w:val="top"/>
          </w:tcPr>
          <w:p>
            <w:r/>
            <w:r>
              <w:rPr>
                <w:b w:val="0"/>
                <w:sz w:val="16"/>
              </w:rPr>
              <w:t>Picking, bacs, table fixe</w:t>
            </w:r>
          </w:p>
        </w:tc>
        <w:tc>
          <w:tcPr>
            <w:tcW w:type="dxa" w:w="2062"/>
            <w:vAlign w:val="top"/>
          </w:tcPr>
          <w:p>
            <w:r/>
            <w:r>
              <w:rPr>
                <w:b w:val="0"/>
                <w:sz w:val="16"/>
              </w:rPr>
              <w:t>TMS, chute</w:t>
            </w:r>
          </w:p>
        </w:tc>
        <w:tc>
          <w:tcPr>
            <w:tcW w:type="dxa" w:w="2062"/>
            <w:vAlign w:val="top"/>
          </w:tcPr>
          <w:p>
            <w:r/>
            <w:r>
              <w:rPr>
                <w:b w:val="0"/>
                <w:sz w:val="16"/>
              </w:rPr>
              <w:t>Organisation 5S en cours</w:t>
            </w:r>
          </w:p>
        </w:tc>
        <w:tc>
          <w:tcPr>
            <w:tcW w:type="dxa" w:w="2062"/>
            <w:vAlign w:val="top"/>
          </w:tcPr>
          <w:p>
            <w:r/>
            <w:r>
              <w:rPr>
                <w:b w:val="0"/>
                <w:sz w:val="16"/>
              </w:rPr>
              <w:t>P=3 ; G=2 ; score 6</w:t>
            </w:r>
          </w:p>
        </w:tc>
      </w:tr>
      <w:tr>
        <w:tc>
          <w:tcPr>
            <w:tcW w:type="dxa" w:w="2062"/>
            <w:vAlign w:val="top"/>
          </w:tcPr>
          <w:p>
            <w:r/>
            <w:r>
              <w:rPr>
                <w:b w:val="0"/>
                <w:sz w:val="16"/>
              </w:rPr>
              <w:t>Boutique</w:t>
            </w:r>
          </w:p>
        </w:tc>
        <w:tc>
          <w:tcPr>
            <w:tcW w:type="dxa" w:w="2062"/>
            <w:vAlign w:val="top"/>
          </w:tcPr>
          <w:p>
            <w:r/>
            <w:r>
              <w:rPr>
                <w:b w:val="0"/>
                <w:sz w:val="16"/>
              </w:rPr>
              <w:t>Sol, réserve, mise en rayon</w:t>
            </w:r>
          </w:p>
        </w:tc>
        <w:tc>
          <w:tcPr>
            <w:tcW w:type="dxa" w:w="2062"/>
            <w:vAlign w:val="top"/>
          </w:tcPr>
          <w:p>
            <w:r/>
            <w:r>
              <w:rPr>
                <w:b w:val="0"/>
                <w:sz w:val="16"/>
              </w:rPr>
              <w:t>Chute plain-pied / hauteur</w:t>
            </w:r>
          </w:p>
        </w:tc>
        <w:tc>
          <w:tcPr>
            <w:tcW w:type="dxa" w:w="2062"/>
            <w:vAlign w:val="top"/>
          </w:tcPr>
          <w:p>
            <w:r/>
            <w:r>
              <w:rPr>
                <w:b w:val="0"/>
                <w:sz w:val="16"/>
              </w:rPr>
              <w:t>Tapis, escabeau</w:t>
            </w:r>
          </w:p>
        </w:tc>
        <w:tc>
          <w:tcPr>
            <w:tcW w:type="dxa" w:w="2062"/>
            <w:vAlign w:val="top"/>
          </w:tcPr>
          <w:p>
            <w:r/>
            <w:r>
              <w:rPr>
                <w:b w:val="0"/>
                <w:sz w:val="16"/>
              </w:rPr>
              <w:t>P=2 ; G=3 ; score 6</w:t>
            </w:r>
          </w:p>
        </w:tc>
      </w:tr>
    </w:tbl>
    <w:p>
      <w:pPr>
        <w:pStyle w:val="Heading1"/>
      </w:pPr>
      <w:r>
        <w:t>2. Échelle de cotation utilisée dans le TP</w:t>
      </w:r>
    </w:p>
    <w:p>
      <w:pPr>
        <w:spacing w:after="120"/>
      </w:pPr>
      <w:r>
        <w:t>La cotation est une méthode interne de priorisation. Elle n’est pas une échelle réglementaire imposée. La fréquence d’exposition est une information utile pour apprécier la probabilité, mais elle ne se confond pas avec elle.</w:t>
      </w:r>
    </w:p>
    <w:tbl>
      <w:tblPr>
        <w:tblStyle w:val="TableGrid"/>
        <w:tblW w:type="auto" w:w="0"/>
        <w:jc w:val="center"/>
        <w:tblLook w:firstColumn="1" w:firstRow="1" w:lastColumn="0" w:lastRow="0" w:noHBand="0" w:noVBand="1" w:val="04A0"/>
      </w:tblPr>
      <w:tblGrid>
        <w:gridCol w:w="3437"/>
        <w:gridCol w:w="3437"/>
        <w:gridCol w:w="3437"/>
      </w:tblGrid>
      <w:tr>
        <w:tc>
          <w:tcPr>
            <w:tcW w:type="dxa" w:w="3437"/>
            <w:shd w:fill="3C7465"/>
            <w:vAlign w:val="top"/>
          </w:tcPr>
          <w:p>
            <w:r/>
            <w:r>
              <w:rPr>
                <w:b/>
                <w:color w:val="FFFFFF"/>
                <w:sz w:val="16"/>
              </w:rPr>
              <w:t>Niveau</w:t>
            </w:r>
          </w:p>
        </w:tc>
        <w:tc>
          <w:tcPr>
            <w:tcW w:type="dxa" w:w="3437"/>
            <w:shd w:fill="3C7465"/>
            <w:vAlign w:val="top"/>
          </w:tcPr>
          <w:p>
            <w:r/>
            <w:r>
              <w:rPr>
                <w:b/>
                <w:color w:val="FFFFFF"/>
                <w:sz w:val="16"/>
              </w:rPr>
              <w:t>Probabilité / vraisemblance</w:t>
            </w:r>
          </w:p>
        </w:tc>
        <w:tc>
          <w:tcPr>
            <w:tcW w:type="dxa" w:w="3437"/>
            <w:shd w:fill="3C7465"/>
            <w:vAlign w:val="top"/>
          </w:tcPr>
          <w:p>
            <w:r/>
            <w:r>
              <w:rPr>
                <w:b/>
                <w:color w:val="FFFFFF"/>
                <w:sz w:val="16"/>
              </w:rPr>
              <w:t>Gravité potentielle</w:t>
            </w:r>
          </w:p>
        </w:tc>
      </w:tr>
      <w:tr>
        <w:tc>
          <w:tcPr>
            <w:tcW w:type="dxa" w:w="3437"/>
            <w:vAlign w:val="top"/>
          </w:tcPr>
          <w:p>
            <w:r/>
            <w:r>
              <w:rPr>
                <w:b w:val="0"/>
                <w:sz w:val="16"/>
              </w:rPr>
              <w:t>1</w:t>
            </w:r>
          </w:p>
        </w:tc>
        <w:tc>
          <w:tcPr>
            <w:tcW w:type="dxa" w:w="3437"/>
            <w:vAlign w:val="top"/>
          </w:tcPr>
          <w:p>
            <w:r/>
            <w:r>
              <w:rPr>
                <w:b w:val="0"/>
                <w:sz w:val="16"/>
              </w:rPr>
              <w:t>Exceptionnelle</w:t>
            </w:r>
          </w:p>
        </w:tc>
        <w:tc>
          <w:tcPr>
            <w:tcW w:type="dxa" w:w="3437"/>
            <w:vAlign w:val="top"/>
          </w:tcPr>
          <w:p>
            <w:r/>
            <w:r>
              <w:rPr>
                <w:b w:val="0"/>
                <w:sz w:val="16"/>
              </w:rPr>
              <w:t>Effet faible ou dommage réversible sans arrêt</w:t>
            </w:r>
          </w:p>
        </w:tc>
      </w:tr>
      <w:tr>
        <w:tc>
          <w:tcPr>
            <w:tcW w:type="dxa" w:w="3437"/>
            <w:vAlign w:val="top"/>
          </w:tcPr>
          <w:p>
            <w:r/>
            <w:r>
              <w:rPr>
                <w:b w:val="0"/>
                <w:sz w:val="16"/>
              </w:rPr>
              <w:t>2</w:t>
            </w:r>
          </w:p>
        </w:tc>
        <w:tc>
          <w:tcPr>
            <w:tcW w:type="dxa" w:w="3437"/>
            <w:vAlign w:val="top"/>
          </w:tcPr>
          <w:p>
            <w:r/>
            <w:r>
              <w:rPr>
                <w:b w:val="0"/>
                <w:sz w:val="16"/>
              </w:rPr>
              <w:t>Rare</w:t>
            </w:r>
          </w:p>
        </w:tc>
        <w:tc>
          <w:tcPr>
            <w:tcW w:type="dxa" w:w="3437"/>
            <w:vAlign w:val="top"/>
          </w:tcPr>
          <w:p>
            <w:r/>
            <w:r>
              <w:rPr>
                <w:b w:val="0"/>
                <w:sz w:val="16"/>
              </w:rPr>
              <w:t>Dommage limité, soins ou arrêt court</w:t>
            </w:r>
          </w:p>
        </w:tc>
      </w:tr>
      <w:tr>
        <w:tc>
          <w:tcPr>
            <w:tcW w:type="dxa" w:w="3437"/>
            <w:vAlign w:val="top"/>
          </w:tcPr>
          <w:p>
            <w:r/>
            <w:r>
              <w:rPr>
                <w:b w:val="0"/>
                <w:sz w:val="16"/>
              </w:rPr>
              <w:t>3</w:t>
            </w:r>
          </w:p>
        </w:tc>
        <w:tc>
          <w:tcPr>
            <w:tcW w:type="dxa" w:w="3437"/>
            <w:vAlign w:val="top"/>
          </w:tcPr>
          <w:p>
            <w:r/>
            <w:r>
              <w:rPr>
                <w:b w:val="0"/>
                <w:sz w:val="16"/>
              </w:rPr>
              <w:t>Possible</w:t>
            </w:r>
          </w:p>
        </w:tc>
        <w:tc>
          <w:tcPr>
            <w:tcW w:type="dxa" w:w="3437"/>
            <w:vAlign w:val="top"/>
          </w:tcPr>
          <w:p>
            <w:r/>
            <w:r>
              <w:rPr>
                <w:b w:val="0"/>
                <w:sz w:val="16"/>
              </w:rPr>
              <w:t>Dommage significatif / perturbation mesurable</w:t>
            </w:r>
          </w:p>
        </w:tc>
      </w:tr>
      <w:tr>
        <w:tc>
          <w:tcPr>
            <w:tcW w:type="dxa" w:w="3437"/>
            <w:vAlign w:val="top"/>
          </w:tcPr>
          <w:p>
            <w:r/>
            <w:r>
              <w:rPr>
                <w:b w:val="0"/>
                <w:sz w:val="16"/>
              </w:rPr>
              <w:t>4</w:t>
            </w:r>
          </w:p>
        </w:tc>
        <w:tc>
          <w:tcPr>
            <w:tcW w:type="dxa" w:w="3437"/>
            <w:vAlign w:val="top"/>
          </w:tcPr>
          <w:p>
            <w:r/>
            <w:r>
              <w:rPr>
                <w:b w:val="0"/>
                <w:sz w:val="16"/>
              </w:rPr>
              <w:t>Probable</w:t>
            </w:r>
          </w:p>
        </w:tc>
        <w:tc>
          <w:tcPr>
            <w:tcW w:type="dxa" w:w="3437"/>
            <w:vAlign w:val="top"/>
          </w:tcPr>
          <w:p>
            <w:r/>
            <w:r>
              <w:rPr>
                <w:b w:val="0"/>
                <w:sz w:val="16"/>
              </w:rPr>
              <w:t>Dommage grave / arrêt important</w:t>
            </w:r>
          </w:p>
        </w:tc>
      </w:tr>
      <w:tr>
        <w:tc>
          <w:tcPr>
            <w:tcW w:type="dxa" w:w="3437"/>
            <w:vAlign w:val="top"/>
          </w:tcPr>
          <w:p>
            <w:r/>
            <w:r>
              <w:rPr>
                <w:b w:val="0"/>
                <w:sz w:val="16"/>
              </w:rPr>
              <w:t>5</w:t>
            </w:r>
          </w:p>
        </w:tc>
        <w:tc>
          <w:tcPr>
            <w:tcW w:type="dxa" w:w="3437"/>
            <w:vAlign w:val="top"/>
          </w:tcPr>
          <w:p>
            <w:r/>
            <w:r>
              <w:rPr>
                <w:b w:val="0"/>
                <w:sz w:val="16"/>
              </w:rPr>
              <w:t>Très probable / récurrente</w:t>
            </w:r>
          </w:p>
        </w:tc>
        <w:tc>
          <w:tcPr>
            <w:tcW w:type="dxa" w:w="3437"/>
            <w:vAlign w:val="top"/>
          </w:tcPr>
          <w:p>
            <w:r/>
            <w:r>
              <w:rPr>
                <w:b w:val="0"/>
                <w:sz w:val="16"/>
              </w:rPr>
              <w:t>Dommage critique : incapacité, risque vital ou conséquence majeure</w:t>
            </w:r>
          </w:p>
        </w:tc>
      </w:tr>
    </w:tbl>
    <w:tbl>
      <w:tblPr>
        <w:tblW w:type="auto" w:w="0"/>
        <w:jc w:val="center"/>
        <w:tblLayout w:type="autofit"/>
        <w:tblLook w:firstColumn="1" w:firstRow="1" w:lastColumn="0" w:lastRow="0" w:noHBand="0" w:noVBand="1" w:val="04A0"/>
      </w:tblPr>
      <w:tblGrid>
        <w:gridCol w:w="10312"/>
      </w:tblGrid>
      <w:tr>
        <w:tc>
          <w:tcPr>
            <w:tcW w:type="dxa" w:w="10312"/>
            <w:shd w:fill="FFF2CC"/>
            <w:vAlign w:val="top"/>
          </w:tcPr>
          <w:p>
            <w:r/>
            <w:r>
              <w:rPr>
                <w:b/>
                <w:sz w:val="18"/>
              </w:rPr>
              <w:t>RÈGLE DE VIGILANCE — Tout risque de gravité 5 doit faire l’objet d’un examen spécifique, même si sa probabilité est faible.</w:t>
            </w:r>
          </w:p>
        </w:tc>
      </w:tr>
    </w:tbl>
    <w:p/>
    <w:p>
      <w:pPr>
        <w:pStyle w:val="Heading1"/>
      </w:pPr>
      <w:r>
        <w:t>3. Hiérarchie pratique des actions à discuter</w:t>
      </w:r>
    </w:p>
    <w:p>
      <w:pPr>
        <w:pStyle w:val="ListBullet"/>
      </w:pPr>
      <w:r>
        <w:t>Supprimer le danger ou éviter l’exposition lorsqu’une solution réaliste existe.</w:t>
      </w:r>
    </w:p>
    <w:p>
      <w:pPr>
        <w:pStyle w:val="ListBullet"/>
      </w:pPr>
      <w:r>
        <w:t>Privilégier la protection collective et l’aménagement de l’organisation avant de compter uniquement sur un équipement individuel.</w:t>
      </w:r>
    </w:p>
    <w:p>
      <w:pPr>
        <w:pStyle w:val="ListBullet"/>
      </w:pPr>
      <w:r>
        <w:t>Définir un responsable, un délai et une preuve de réalisation pour chaque action.</w:t>
      </w:r>
    </w:p>
    <w:p>
      <w:pPr>
        <w:pStyle w:val="ListBullet"/>
      </w:pPr>
      <w:r>
        <w:t>Vérifier l’efficacité : une action réalisée n’est pas nécessairement une action efficace.</w:t>
      </w:r>
    </w:p>
    <w:p>
      <w:pPr>
        <w:pStyle w:val="Heading1"/>
      </w:pPr>
      <w:r>
        <w:t>4. Point de droit à vérifier</w:t>
      </w:r>
    </w:p>
    <w:p>
      <w:r>
        <w:t>À partir de R09 ou d’une source institutionnelle, vérifiez dans quels cas le DUERP doit être mis à jour et quelles règles de conservation / traçabilité s’appliquent. La réponse n’est volontairement pas donnée dans cette pièce.</w:t>
      </w:r>
    </w:p>
    <w:p>
      <w:pPr>
        <w:pStyle w:val="ListBullet"/>
        <w:spacing w:after="40"/>
      </w:pPr>
      <w:r>
        <w:rPr>
          <w:b/>
        </w:rPr>
        <w:t xml:space="preserve">Ministère du Travail — DUERP: </w:t>
      </w:r>
      <w:r>
        <w:t>https://travail-emploi.gouv.fr/le-document-unique-devaluation-des-risques-professionnels-duerp</w:t>
      </w:r>
    </w:p>
    <w:sectPr w:rsidR="00FC693F" w:rsidRPr="0006063C" w:rsidSect="00034616">
      <w:pgSz w:w="12240" w:h="15840"/>
      <w:pgMar w:top="850"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15D7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3C7465"/>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315D77"/>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