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R07 — Commande de la direction : projet continuité et qualité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FF2CC"/>
            <w:vAlign w:val="top"/>
          </w:tcPr>
          <w:p>
            <w:r/>
            <w:r>
              <w:rPr>
                <w:b/>
                <w:sz w:val="18"/>
              </w:rPr>
              <w:t>COMMANDE CRÉÉE POUR LE TP — les objectifs, contraintes et moyens ci-dessous sont fictifs.</w:t>
            </w:r>
          </w:p>
        </w:tc>
      </w:tr>
    </w:tbl>
    <w:p/>
    <w:p>
      <w:pPr>
        <w:pStyle w:val="Heading1"/>
      </w:pPr>
      <w:r>
        <w:t>1. Demande de la direction</w:t>
      </w:r>
    </w:p>
    <w:p>
      <w:r>
        <w:t>Avant la prochaine période de forte activité, la direction souhaite réduire la dépendance à quelques partenaires critiques, mieux centraliser les preuves liées aux engagements / certifications et diminuer les retours clients évitables. Le projet doit rester compatible avec les moyens d’une PME et éviter les procédures inutilement lourdes.</w:t>
      </w:r>
    </w:p>
    <w:p>
      <w:pPr>
        <w:pStyle w:val="Heading1"/>
      </w:pPr>
      <w:r>
        <w:t>2. Contraintes du mini-projet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315D77"/>
            <w:vAlign w:val="top"/>
          </w:tcPr>
          <w:p>
            <w:r/>
            <w:r>
              <w:rPr>
                <w:b/>
                <w:color w:val="FFFFFF"/>
                <w:sz w:val="16"/>
              </w:rPr>
              <w:t>Contrainte</w:t>
            </w:r>
          </w:p>
        </w:tc>
        <w:tc>
          <w:tcPr>
            <w:tcW w:type="dxa" w:w="5156"/>
            <w:shd w:fill="315D77"/>
            <w:vAlign w:val="top"/>
          </w:tcPr>
          <w:p>
            <w:r/>
            <w:r>
              <w:rPr>
                <w:b/>
                <w:color w:val="FFFFFF"/>
                <w:sz w:val="16"/>
              </w:rPr>
              <w:t>Donnée du scénario</w:t>
            </w:r>
          </w:p>
        </w:tc>
      </w:tr>
      <w:tr>
        <w:tc>
          <w:tcPr>
            <w:tcW w:type="dxa" w:w="5156"/>
            <w:vAlign w:val="top"/>
          </w:tcPr>
          <w:p>
            <w:r/>
            <w:r>
              <w:rPr>
                <w:b/>
                <w:sz w:val="16"/>
              </w:rPr>
              <w:t>Délai</w:t>
            </w:r>
          </w:p>
        </w:tc>
        <w:tc>
          <w:tcPr>
            <w:tcW w:type="dxa" w:w="5156"/>
            <w:vAlign w:val="top"/>
          </w:tcPr>
          <w:p>
            <w:r/>
            <w:r>
              <w:rPr>
                <w:b w:val="0"/>
                <w:sz w:val="16"/>
              </w:rPr>
              <w:t>6 semaines pour proposer et tester les premières actions</w:t>
            </w:r>
          </w:p>
        </w:tc>
      </w:tr>
      <w:tr>
        <w:tc>
          <w:tcPr>
            <w:tcW w:type="dxa" w:w="5156"/>
            <w:vAlign w:val="top"/>
          </w:tcPr>
          <w:p>
            <w:r/>
            <w:r>
              <w:rPr>
                <w:b/>
                <w:sz w:val="16"/>
              </w:rPr>
              <w:t>Équipe</w:t>
            </w:r>
          </w:p>
        </w:tc>
        <w:tc>
          <w:tcPr>
            <w:tcW w:type="dxa" w:w="5156"/>
            <w:vAlign w:val="top"/>
          </w:tcPr>
          <w:p>
            <w:r/>
            <w:r>
              <w:rPr>
                <w:b w:val="0"/>
                <w:sz w:val="16"/>
              </w:rPr>
              <w:t>Direction, achats/production, qualité/SAV, e-commerce, assistant(e) de gestion</w:t>
            </w:r>
          </w:p>
        </w:tc>
      </w:tr>
      <w:tr>
        <w:tc>
          <w:tcPr>
            <w:tcW w:type="dxa" w:w="5156"/>
            <w:vAlign w:val="top"/>
          </w:tcPr>
          <w:p>
            <w:r/>
            <w:r>
              <w:rPr>
                <w:b/>
                <w:sz w:val="16"/>
              </w:rPr>
              <w:t>Budget test</w:t>
            </w:r>
          </w:p>
        </w:tc>
        <w:tc>
          <w:tcPr>
            <w:tcW w:type="dxa" w:w="5156"/>
            <w:vAlign w:val="top"/>
          </w:tcPr>
          <w:p>
            <w:r/>
            <w:r>
              <w:rPr>
                <w:b w:val="0"/>
                <w:sz w:val="16"/>
              </w:rPr>
              <w:t>8 000 € maximum avant validation complémentaire</w:t>
            </w:r>
          </w:p>
        </w:tc>
      </w:tr>
      <w:tr>
        <w:tc>
          <w:tcPr>
            <w:tcW w:type="dxa" w:w="5156"/>
            <w:vAlign w:val="top"/>
          </w:tcPr>
          <w:p>
            <w:r/>
            <w:r>
              <w:rPr>
                <w:b/>
                <w:sz w:val="16"/>
              </w:rPr>
              <w:t>Période sensible</w:t>
            </w:r>
          </w:p>
        </w:tc>
        <w:tc>
          <w:tcPr>
            <w:tcW w:type="dxa" w:w="5156"/>
            <w:vAlign w:val="top"/>
          </w:tcPr>
          <w:p>
            <w:r/>
            <w:r>
              <w:rPr>
                <w:b w:val="0"/>
                <w:sz w:val="16"/>
              </w:rPr>
              <w:t>Forte activité commerciale à partir de novembre</w:t>
            </w:r>
          </w:p>
        </w:tc>
      </w:tr>
      <w:tr>
        <w:tc>
          <w:tcPr>
            <w:tcW w:type="dxa" w:w="5156"/>
            <w:vAlign w:val="top"/>
          </w:tcPr>
          <w:p>
            <w:r/>
            <w:r>
              <w:rPr>
                <w:b/>
                <w:sz w:val="16"/>
              </w:rPr>
              <w:t>Documentation</w:t>
            </w:r>
          </w:p>
        </w:tc>
        <w:tc>
          <w:tcPr>
            <w:tcW w:type="dxa" w:w="5156"/>
            <w:vAlign w:val="top"/>
          </w:tcPr>
          <w:p>
            <w:r/>
            <w:r>
              <w:rPr>
                <w:b w:val="0"/>
                <w:sz w:val="16"/>
              </w:rPr>
              <w:t>Les preuves de certification et procédures doivent être centralisées</w:t>
            </w:r>
          </w:p>
        </w:tc>
      </w:tr>
      <w:tr>
        <w:tc>
          <w:tcPr>
            <w:tcW w:type="dxa" w:w="5156"/>
            <w:vAlign w:val="top"/>
          </w:tcPr>
          <w:p>
            <w:r/>
            <w:r>
              <w:rPr>
                <w:b/>
                <w:sz w:val="16"/>
              </w:rPr>
              <w:t>Principe</w:t>
            </w:r>
          </w:p>
        </w:tc>
        <w:tc>
          <w:tcPr>
            <w:tcW w:type="dxa" w:w="5156"/>
            <w:vAlign w:val="top"/>
          </w:tcPr>
          <w:p>
            <w:r/>
            <w:r>
              <w:rPr>
                <w:b w:val="0"/>
                <w:sz w:val="16"/>
              </w:rPr>
              <w:t>Ne pas confondre conformité réglementaire, certification volontaire et engagement marketing</w:t>
            </w:r>
          </w:p>
        </w:tc>
      </w:tr>
    </w:tbl>
    <w:p>
      <w:pPr>
        <w:pStyle w:val="Heading1"/>
      </w:pPr>
      <w:r>
        <w:t>3. Livrables attendus</w:t>
      </w:r>
    </w:p>
    <w:p>
      <w:pPr>
        <w:pStyle w:val="ListBullet"/>
      </w:pPr>
      <w:r>
        <w:t>Matrice de criticité fournisseurs et propositions de continuité sur les trois dépendances prioritaires.</w:t>
      </w:r>
    </w:p>
    <w:p>
      <w:pPr>
        <w:pStyle w:val="ListBullet"/>
      </w:pPr>
      <w:r>
        <w:t>Mise à jour de veille utile à la décision sur les sujets demandés.</w:t>
      </w:r>
    </w:p>
    <w:p>
      <w:pPr>
        <w:pStyle w:val="ListBullet"/>
      </w:pPr>
      <w:r>
        <w:t>Cadrage du mini-projet : objectif, acteurs, contraintes, livrables, jalons, tâches, indicateurs et risques du projet.</w:t>
      </w:r>
    </w:p>
    <w:p>
      <w:pPr>
        <w:pStyle w:val="ListBullet"/>
      </w:pPr>
      <w:r>
        <w:t>Suivi du projet et capitalisation des décisions / résultats.</w:t>
      </w:r>
    </w:p>
    <w:p>
      <w:pPr>
        <w:pStyle w:val="Heading1"/>
      </w:pPr>
      <w:r>
        <w:t>4. Point de vigilance méthodologique</w:t>
      </w:r>
    </w:p>
    <w:p>
      <w:r>
        <w:t>Une corrélation ou un faisceau d’indices peut orienter l’analyse mais ne prouve pas une cause. Toute conclusion doit pouvoir être reliée à une preuve, et les informations manquantes doivent être signalées.</w:t>
      </w:r>
    </w:p>
    <w:p>
      <w:pPr>
        <w:pStyle w:val="Heading1"/>
      </w:pPr>
      <w:r>
        <w:t>5. Information réelle sur 1083 à ne pas confondre avec les données du scénario</w:t>
      </w:r>
    </w:p>
    <w:p>
      <w:r>
        <w:t>L’histoire publiée par 1083 mentionne la fermeture d’un sous-traitant de coupe en 2023. Ce fait peut servir de point de départ à un retour d’expérience sur la dépendance et la continuité. Les partenaires désignés par des lettres dans R08 sont, eux, entièrement fictifs.</w:t>
      </w:r>
    </w:p>
    <w:sectPr w:rsidR="00FC693F" w:rsidRPr="0006063C" w:rsidSect="00034616"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15D7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C746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315D7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