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R03 — DUERP : extrait de travail, cotation et prévention</w:t>
      </w:r>
    </w:p>
    <w:tbl>
      <w:tblPr>
        <w:tblW w:type="auto" w:w="0"/>
        <w:jc w:val="center"/>
        <w:tblLayout w:type="autofit"/>
        <w:tblLook w:firstColumn="1" w:firstRow="1" w:lastColumn="0" w:lastRow="0" w:noHBand="0" w:noVBand="1" w:val="04A0"/>
      </w:tblPr>
      <w:tblGrid>
        <w:gridCol w:w="10312"/>
      </w:tblGrid>
      <w:tr>
        <w:tc>
          <w:tcPr>
            <w:tcW w:type="dxa" w:w="10312"/>
            <w:shd w:fill="FFF2CC"/>
            <w:vAlign w:val="center"/>
          </w:tcPr>
          <w:p>
            <w:r>
              <w:rPr>
                <w:b/>
              </w:rPr>
            </w:r>
            <w:r>
              <w:rPr>
                <w:b/>
                <w:sz w:val="18"/>
              </w:rPr>
              <w:t>DOCUMENT CRÉÉ POUR LE TP — les situations, mesures et évaluations ci-dessous sont fictives et ne décrivent pas le DUERP réel de 1083.</w:t>
            </w:r>
          </w:p>
        </w:tc>
      </w:tr>
    </w:tbl>
    <w:p/>
    <w:p>
      <w:pPr>
        <w:pStyle w:val="Heading1"/>
      </w:pPr>
      <w:r>
        <w:t>1. Extrait du DUERP avant réévaluation</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062"/>
            <w:shd w:fill="315D77"/>
            <w:vAlign w:val="center"/>
          </w:tcPr>
          <w:p>
            <w:r>
              <w:rPr>
                <w:b/>
              </w:rPr>
            </w:r>
            <w:r>
              <w:rPr>
                <w:b/>
                <w:color w:val="FFFFFF"/>
                <w:sz w:val="16"/>
              </w:rPr>
              <w:t>Unité de travail</w:t>
            </w:r>
          </w:p>
        </w:tc>
        <w:tc>
          <w:tcPr>
            <w:tcW w:type="dxa" w:w="2062"/>
            <w:shd w:fill="315D77"/>
            <w:vAlign w:val="center"/>
          </w:tcPr>
          <w:p>
            <w:r>
              <w:rPr>
                <w:b/>
              </w:rPr>
            </w:r>
            <w:r>
              <w:rPr>
                <w:b/>
                <w:color w:val="FFFFFF"/>
                <w:sz w:val="16"/>
              </w:rPr>
              <w:t>Danger / situation</w:t>
            </w:r>
          </w:p>
        </w:tc>
        <w:tc>
          <w:tcPr>
            <w:tcW w:type="dxa" w:w="2062"/>
            <w:shd w:fill="315D77"/>
            <w:vAlign w:val="center"/>
          </w:tcPr>
          <w:p>
            <w:r>
              <w:rPr>
                <w:b/>
              </w:rPr>
            </w:r>
            <w:r>
              <w:rPr>
                <w:b/>
                <w:color w:val="FFFFFF"/>
                <w:sz w:val="16"/>
              </w:rPr>
              <w:t>Risque identifié</w:t>
            </w:r>
          </w:p>
        </w:tc>
        <w:tc>
          <w:tcPr>
            <w:tcW w:type="dxa" w:w="2062"/>
            <w:shd w:fill="315D77"/>
            <w:vAlign w:val="center"/>
          </w:tcPr>
          <w:p>
            <w:r>
              <w:rPr>
                <w:b/>
              </w:rPr>
            </w:r>
            <w:r>
              <w:rPr>
                <w:b/>
                <w:color w:val="FFFFFF"/>
                <w:sz w:val="16"/>
              </w:rPr>
              <w:t>Mesures existantes</w:t>
            </w:r>
          </w:p>
        </w:tc>
        <w:tc>
          <w:tcPr>
            <w:tcW w:type="dxa" w:w="2062"/>
            <w:shd w:fill="315D77"/>
            <w:vAlign w:val="center"/>
          </w:tcPr>
          <w:p>
            <w:r>
              <w:rPr>
                <w:b/>
              </w:rPr>
            </w:r>
            <w:r>
              <w:rPr>
                <w:b/>
                <w:color w:val="FFFFFF"/>
                <w:sz w:val="16"/>
              </w:rPr>
              <w:t>Évaluation précédente</w:t>
            </w:r>
          </w:p>
        </w:tc>
      </w:tr>
      <w:tr>
        <w:tc>
          <w:tcPr>
            <w:tcW w:type="dxa" w:w="2062"/>
            <w:vAlign w:val="top"/>
          </w:tcPr>
          <w:p>
            <w:pPr>
              <w:spacing w:after="0" w:before="0"/>
            </w:pPr>
            <w:r>
              <w:rPr>
                <w:sz w:val="17"/>
              </w:rPr>
              <w:t>Atelier coupe</w:t>
            </w:r>
          </w:p>
        </w:tc>
        <w:tc>
          <w:tcPr>
            <w:tcW w:type="dxa" w:w="2062"/>
            <w:vAlign w:val="top"/>
          </w:tcPr>
          <w:p>
            <w:pPr>
              <w:spacing w:after="0" w:before="0"/>
            </w:pPr>
            <w:r>
              <w:rPr>
                <w:sz w:val="17"/>
              </w:rPr>
              <w:t>Machine de coupe et lames</w:t>
            </w:r>
          </w:p>
        </w:tc>
        <w:tc>
          <w:tcPr>
            <w:tcW w:type="dxa" w:w="2062"/>
            <w:vAlign w:val="top"/>
          </w:tcPr>
          <w:p>
            <w:pPr>
              <w:spacing w:after="0" w:before="0"/>
            </w:pPr>
            <w:r>
              <w:rPr>
                <w:sz w:val="17"/>
              </w:rPr>
              <w:t>Coupure / contact avec organe dangereux</w:t>
            </w:r>
          </w:p>
        </w:tc>
        <w:tc>
          <w:tcPr>
            <w:tcW w:type="dxa" w:w="2062"/>
            <w:vAlign w:val="top"/>
          </w:tcPr>
          <w:p>
            <w:pPr>
              <w:spacing w:after="0" w:before="0"/>
            </w:pPr>
            <w:r>
              <w:rPr>
                <w:sz w:val="17"/>
              </w:rPr>
              <w:t>Protecteurs, arrêt d’urgence, consignes</w:t>
            </w:r>
          </w:p>
        </w:tc>
        <w:tc>
          <w:tcPr>
            <w:tcW w:type="dxa" w:w="2062"/>
            <w:vAlign w:val="top"/>
          </w:tcPr>
          <w:p>
            <w:pPr>
              <w:spacing w:after="0" w:before="0"/>
            </w:pPr>
            <w:r>
              <w:rPr>
                <w:sz w:val="17"/>
              </w:rPr>
              <w:t>P=2 ; G=5 ; criticité 10</w:t>
            </w:r>
          </w:p>
        </w:tc>
      </w:tr>
      <w:tr>
        <w:tc>
          <w:tcPr>
            <w:tcW w:type="dxa" w:w="2062"/>
            <w:vAlign w:val="top"/>
          </w:tcPr>
          <w:p>
            <w:pPr>
              <w:spacing w:after="0" w:before="0"/>
            </w:pPr>
            <w:r>
              <w:rPr>
                <w:sz w:val="17"/>
              </w:rPr>
              <w:t>Atelier confection</w:t>
            </w:r>
          </w:p>
        </w:tc>
        <w:tc>
          <w:tcPr>
            <w:tcW w:type="dxa" w:w="2062"/>
            <w:vAlign w:val="top"/>
          </w:tcPr>
          <w:p>
            <w:pPr>
              <w:spacing w:after="0" w:before="0"/>
            </w:pPr>
            <w:r>
              <w:rPr>
                <w:sz w:val="17"/>
              </w:rPr>
              <w:t>Gestes répétitifs et posture</w:t>
            </w:r>
          </w:p>
        </w:tc>
        <w:tc>
          <w:tcPr>
            <w:tcW w:type="dxa" w:w="2062"/>
            <w:vAlign w:val="top"/>
          </w:tcPr>
          <w:p>
            <w:pPr>
              <w:spacing w:after="0" w:before="0"/>
            </w:pPr>
            <w:r>
              <w:rPr>
                <w:sz w:val="17"/>
              </w:rPr>
              <w:t>TMS</w:t>
            </w:r>
          </w:p>
        </w:tc>
        <w:tc>
          <w:tcPr>
            <w:tcW w:type="dxa" w:w="2062"/>
            <w:vAlign w:val="top"/>
          </w:tcPr>
          <w:p>
            <w:pPr>
              <w:spacing w:after="0" w:before="0"/>
            </w:pPr>
            <w:r>
              <w:rPr>
                <w:sz w:val="17"/>
              </w:rPr>
              <w:t>Sièges réglables, pauses libres</w:t>
            </w:r>
          </w:p>
        </w:tc>
        <w:tc>
          <w:tcPr>
            <w:tcW w:type="dxa" w:w="2062"/>
            <w:vAlign w:val="top"/>
          </w:tcPr>
          <w:p>
            <w:pPr>
              <w:spacing w:after="0" w:before="0"/>
            </w:pPr>
            <w:r>
              <w:rPr>
                <w:sz w:val="17"/>
              </w:rPr>
              <w:t>P=4 ; G=2 ; criticité 8</w:t>
            </w:r>
          </w:p>
        </w:tc>
      </w:tr>
      <w:tr>
        <w:tc>
          <w:tcPr>
            <w:tcW w:type="dxa" w:w="2062"/>
            <w:vAlign w:val="top"/>
          </w:tcPr>
          <w:p>
            <w:pPr>
              <w:spacing w:after="0" w:before="0"/>
            </w:pPr>
            <w:r>
              <w:rPr>
                <w:sz w:val="17"/>
              </w:rPr>
              <w:t>Réception / stock</w:t>
            </w:r>
          </w:p>
        </w:tc>
        <w:tc>
          <w:tcPr>
            <w:tcW w:type="dxa" w:w="2062"/>
            <w:vAlign w:val="top"/>
          </w:tcPr>
          <w:p>
            <w:pPr>
              <w:spacing w:after="0" w:before="0"/>
            </w:pPr>
            <w:r>
              <w:rPr>
                <w:sz w:val="17"/>
              </w:rPr>
              <w:t>Manutention manuelle</w:t>
            </w:r>
          </w:p>
        </w:tc>
        <w:tc>
          <w:tcPr>
            <w:tcW w:type="dxa" w:w="2062"/>
            <w:vAlign w:val="top"/>
          </w:tcPr>
          <w:p>
            <w:pPr>
              <w:spacing w:after="0" w:before="0"/>
            </w:pPr>
            <w:r>
              <w:rPr>
                <w:sz w:val="17"/>
              </w:rPr>
              <w:t>TMS / atteinte musculosquelettique</w:t>
            </w:r>
          </w:p>
        </w:tc>
        <w:tc>
          <w:tcPr>
            <w:tcW w:type="dxa" w:w="2062"/>
            <w:vAlign w:val="top"/>
          </w:tcPr>
          <w:p>
            <w:pPr>
              <w:spacing w:after="0" w:before="0"/>
            </w:pPr>
            <w:r>
              <w:rPr>
                <w:sz w:val="17"/>
              </w:rPr>
              <w:t>Mesures de l’ancienne ligne : chariots, marquage partiel</w:t>
            </w:r>
          </w:p>
        </w:tc>
        <w:tc>
          <w:tcPr>
            <w:tcW w:type="dxa" w:w="2062"/>
            <w:vAlign w:val="top"/>
          </w:tcPr>
          <w:p>
            <w:pPr>
              <w:spacing w:after="0" w:before="0"/>
            </w:pPr>
            <w:r>
              <w:rPr>
                <w:sz w:val="17"/>
              </w:rPr>
              <w:t>Cotation précédente agrégée : P=3 ; G=3 ; criticité 9</w:t>
            </w:r>
          </w:p>
        </w:tc>
      </w:tr>
      <w:tr>
        <w:tc>
          <w:tcPr>
            <w:tcW w:type="dxa" w:w="2062"/>
            <w:vAlign w:val="top"/>
          </w:tcPr>
          <w:p>
            <w:pPr>
              <w:spacing w:after="0" w:before="0"/>
            </w:pPr>
            <w:r>
              <w:rPr>
                <w:sz w:val="17"/>
              </w:rPr>
              <w:t>Réception / stock</w:t>
            </w:r>
          </w:p>
        </w:tc>
        <w:tc>
          <w:tcPr>
            <w:tcW w:type="dxa" w:w="2062"/>
            <w:vAlign w:val="top"/>
          </w:tcPr>
          <w:p>
            <w:pPr>
              <w:spacing w:after="0" w:before="0"/>
            </w:pPr>
            <w:r>
              <w:rPr>
                <w:sz w:val="17"/>
              </w:rPr>
              <w:t>Circulation interne</w:t>
            </w:r>
          </w:p>
        </w:tc>
        <w:tc>
          <w:tcPr>
            <w:tcW w:type="dxa" w:w="2062"/>
            <w:vAlign w:val="top"/>
          </w:tcPr>
          <w:p>
            <w:pPr>
              <w:spacing w:after="0" w:before="0"/>
            </w:pPr>
            <w:r>
              <w:rPr>
                <w:sz w:val="17"/>
              </w:rPr>
              <w:t>Heurt / collision</w:t>
            </w:r>
          </w:p>
        </w:tc>
        <w:tc>
          <w:tcPr>
            <w:tcW w:type="dxa" w:w="2062"/>
            <w:vAlign w:val="top"/>
          </w:tcPr>
          <w:p>
            <w:pPr>
              <w:spacing w:after="0" w:before="0"/>
            </w:pPr>
            <w:r>
              <w:rPr>
                <w:sz w:val="17"/>
              </w:rPr>
              <w:t>Mesures de l’ancienne ligne : chariots, marquage partiel</w:t>
            </w:r>
          </w:p>
        </w:tc>
        <w:tc>
          <w:tcPr>
            <w:tcW w:type="dxa" w:w="2062"/>
            <w:vAlign w:val="top"/>
          </w:tcPr>
          <w:p>
            <w:pPr>
              <w:spacing w:after="0" w:before="0"/>
            </w:pPr>
            <w:r>
              <w:rPr>
                <w:sz w:val="17"/>
              </w:rPr>
              <w:t>Cotation précédente agrégée : P=3 ; G=3 ; criticité 9</w:t>
            </w:r>
          </w:p>
        </w:tc>
      </w:tr>
      <w:tr>
        <w:tc>
          <w:tcPr>
            <w:tcW w:type="dxa" w:w="2062"/>
            <w:vAlign w:val="top"/>
          </w:tcPr>
          <w:p>
            <w:pPr>
              <w:spacing w:after="0" w:before="0"/>
            </w:pPr>
            <w:r>
              <w:rPr>
                <w:sz w:val="17"/>
              </w:rPr>
              <w:t>Réception / stock</w:t>
            </w:r>
          </w:p>
        </w:tc>
        <w:tc>
          <w:tcPr>
            <w:tcW w:type="dxa" w:w="2062"/>
            <w:vAlign w:val="top"/>
          </w:tcPr>
          <w:p>
            <w:pPr>
              <w:spacing w:after="0" w:before="0"/>
            </w:pPr>
            <w:r>
              <w:rPr>
                <w:sz w:val="17"/>
              </w:rPr>
              <w:t>Réception et stabilité des charges</w:t>
            </w:r>
          </w:p>
        </w:tc>
        <w:tc>
          <w:tcPr>
            <w:tcW w:type="dxa" w:w="2062"/>
            <w:vAlign w:val="top"/>
          </w:tcPr>
          <w:p>
            <w:pPr>
              <w:spacing w:after="0" w:before="0"/>
            </w:pPr>
            <w:r>
              <w:rPr>
                <w:sz w:val="17"/>
              </w:rPr>
              <w:t>Chute d’objet</w:t>
            </w:r>
          </w:p>
        </w:tc>
        <w:tc>
          <w:tcPr>
            <w:tcW w:type="dxa" w:w="2062"/>
            <w:vAlign w:val="top"/>
          </w:tcPr>
          <w:p>
            <w:pPr>
              <w:spacing w:after="0" w:before="0"/>
            </w:pPr>
            <w:r>
              <w:rPr>
                <w:sz w:val="17"/>
              </w:rPr>
              <w:t>Mesures de l’ancienne ligne : chariots, marquage partiel</w:t>
            </w:r>
          </w:p>
        </w:tc>
        <w:tc>
          <w:tcPr>
            <w:tcW w:type="dxa" w:w="2062"/>
            <w:vAlign w:val="top"/>
          </w:tcPr>
          <w:p>
            <w:pPr>
              <w:spacing w:after="0" w:before="0"/>
            </w:pPr>
            <w:r>
              <w:rPr>
                <w:sz w:val="17"/>
              </w:rPr>
              <w:t>Cotation précédente agrégée : P=3 ; G=3 ; criticité 9</w:t>
            </w:r>
          </w:p>
        </w:tc>
      </w:tr>
      <w:tr>
        <w:tc>
          <w:tcPr>
            <w:tcW w:type="dxa" w:w="2062"/>
            <w:vAlign w:val="top"/>
          </w:tcPr>
          <w:p>
            <w:pPr>
              <w:spacing w:after="0" w:before="0"/>
            </w:pPr>
            <w:r>
              <w:rPr>
                <w:sz w:val="17"/>
              </w:rPr>
              <w:t>E-commerce / préparation</w:t>
            </w:r>
          </w:p>
        </w:tc>
        <w:tc>
          <w:tcPr>
            <w:tcW w:type="dxa" w:w="2062"/>
            <w:vAlign w:val="top"/>
          </w:tcPr>
          <w:p>
            <w:pPr>
              <w:spacing w:after="0" w:before="0"/>
            </w:pPr>
            <w:r>
              <w:rPr>
                <w:sz w:val="17"/>
              </w:rPr>
              <w:t>Postures, répétitivité, table fixe</w:t>
            </w:r>
          </w:p>
        </w:tc>
        <w:tc>
          <w:tcPr>
            <w:tcW w:type="dxa" w:w="2062"/>
            <w:vAlign w:val="top"/>
          </w:tcPr>
          <w:p>
            <w:pPr>
              <w:spacing w:after="0" w:before="0"/>
            </w:pPr>
            <w:r>
              <w:rPr>
                <w:sz w:val="17"/>
              </w:rPr>
              <w:t>TMS</w:t>
            </w:r>
          </w:p>
        </w:tc>
        <w:tc>
          <w:tcPr>
            <w:tcW w:type="dxa" w:w="2062"/>
            <w:vAlign w:val="top"/>
          </w:tcPr>
          <w:p>
            <w:pPr>
              <w:spacing w:after="0" w:before="0"/>
            </w:pPr>
            <w:r>
              <w:rPr>
                <w:sz w:val="17"/>
              </w:rPr>
              <w:t>Organisation 5S en cours</w:t>
            </w:r>
          </w:p>
        </w:tc>
        <w:tc>
          <w:tcPr>
            <w:tcW w:type="dxa" w:w="2062"/>
            <w:vAlign w:val="top"/>
          </w:tcPr>
          <w:p>
            <w:pPr>
              <w:spacing w:after="0" w:before="0"/>
            </w:pPr>
            <w:r>
              <w:rPr>
                <w:sz w:val="17"/>
              </w:rPr>
              <w:t>Cotation précédente agrégée : P=3 ; G=2 ; criticité 6</w:t>
            </w:r>
          </w:p>
        </w:tc>
      </w:tr>
      <w:tr>
        <w:tc>
          <w:tcPr>
            <w:tcW w:type="dxa" w:w="2062"/>
            <w:vAlign w:val="top"/>
          </w:tcPr>
          <w:p>
            <w:pPr>
              <w:spacing w:after="0" w:before="0"/>
            </w:pPr>
            <w:r>
              <w:rPr>
                <w:sz w:val="17"/>
              </w:rPr>
              <w:t>E-commerce / préparation</w:t>
            </w:r>
          </w:p>
        </w:tc>
        <w:tc>
          <w:tcPr>
            <w:tcW w:type="dxa" w:w="2062"/>
            <w:vAlign w:val="top"/>
          </w:tcPr>
          <w:p>
            <w:pPr>
              <w:spacing w:after="0" w:before="0"/>
            </w:pPr>
            <w:r>
              <w:rPr>
                <w:sz w:val="17"/>
              </w:rPr>
              <w:t>Picking et circulation entre les bacs</w:t>
            </w:r>
          </w:p>
        </w:tc>
        <w:tc>
          <w:tcPr>
            <w:tcW w:type="dxa" w:w="2062"/>
            <w:vAlign w:val="top"/>
          </w:tcPr>
          <w:p>
            <w:pPr>
              <w:spacing w:after="0" w:before="0"/>
            </w:pPr>
            <w:r>
              <w:rPr>
                <w:sz w:val="17"/>
              </w:rPr>
              <w:t>Chute de plain-pied</w:t>
            </w:r>
          </w:p>
        </w:tc>
        <w:tc>
          <w:tcPr>
            <w:tcW w:type="dxa" w:w="2062"/>
            <w:vAlign w:val="top"/>
          </w:tcPr>
          <w:p>
            <w:pPr>
              <w:spacing w:after="0" w:before="0"/>
            </w:pPr>
            <w:r>
              <w:rPr>
                <w:sz w:val="17"/>
              </w:rPr>
              <w:t>Organisation 5S en cours</w:t>
            </w:r>
          </w:p>
        </w:tc>
        <w:tc>
          <w:tcPr>
            <w:tcW w:type="dxa" w:w="2062"/>
            <w:vAlign w:val="top"/>
          </w:tcPr>
          <w:p>
            <w:pPr>
              <w:spacing w:after="0" w:before="0"/>
            </w:pPr>
            <w:r>
              <w:rPr>
                <w:sz w:val="17"/>
              </w:rPr>
              <w:t>Cotation précédente agrégée : P=3 ; G=2 ; criticité 6</w:t>
            </w:r>
          </w:p>
        </w:tc>
      </w:tr>
      <w:tr>
        <w:tc>
          <w:tcPr>
            <w:tcW w:type="dxa" w:w="2062"/>
            <w:vAlign w:val="top"/>
          </w:tcPr>
          <w:p>
            <w:pPr>
              <w:spacing w:after="0" w:before="0"/>
            </w:pPr>
            <w:r>
              <w:rPr>
                <w:sz w:val="17"/>
              </w:rPr>
              <w:t>Boutique</w:t>
            </w:r>
          </w:p>
        </w:tc>
        <w:tc>
          <w:tcPr>
            <w:tcW w:type="dxa" w:w="2062"/>
            <w:vAlign w:val="top"/>
          </w:tcPr>
          <w:p>
            <w:pPr>
              <w:spacing w:after="0" w:before="0"/>
            </w:pPr>
            <w:r>
              <w:rPr>
                <w:sz w:val="17"/>
              </w:rPr>
              <w:t>Sol et zone d’entrée</w:t>
            </w:r>
          </w:p>
        </w:tc>
        <w:tc>
          <w:tcPr>
            <w:tcW w:type="dxa" w:w="2062"/>
            <w:vAlign w:val="top"/>
          </w:tcPr>
          <w:p>
            <w:pPr>
              <w:spacing w:after="0" w:before="0"/>
            </w:pPr>
            <w:r>
              <w:rPr>
                <w:sz w:val="17"/>
              </w:rPr>
              <w:t>Chute de plain-pied</w:t>
            </w:r>
          </w:p>
        </w:tc>
        <w:tc>
          <w:tcPr>
            <w:tcW w:type="dxa" w:w="2062"/>
            <w:vAlign w:val="top"/>
          </w:tcPr>
          <w:p>
            <w:pPr>
              <w:spacing w:after="0" w:before="0"/>
            </w:pPr>
            <w:r>
              <w:rPr>
                <w:sz w:val="17"/>
              </w:rPr>
              <w:t>Tapis</w:t>
            </w:r>
          </w:p>
        </w:tc>
        <w:tc>
          <w:tcPr>
            <w:tcW w:type="dxa" w:w="2062"/>
            <w:vAlign w:val="top"/>
          </w:tcPr>
          <w:p>
            <w:pPr>
              <w:spacing w:after="0" w:before="0"/>
            </w:pPr>
            <w:r>
              <w:rPr>
                <w:sz w:val="17"/>
              </w:rPr>
              <w:t>Cotation précédente agrégée : P=2 ; G=3 ; criticité 6</w:t>
            </w:r>
          </w:p>
        </w:tc>
      </w:tr>
      <w:tr>
        <w:tc>
          <w:tcPr>
            <w:tcW w:type="dxa" w:w="2062"/>
            <w:vAlign w:val="top"/>
          </w:tcPr>
          <w:p>
            <w:pPr>
              <w:spacing w:after="0" w:before="0"/>
            </w:pPr>
            <w:r>
              <w:rPr>
                <w:sz w:val="17"/>
              </w:rPr>
              <w:t>Boutique</w:t>
            </w:r>
          </w:p>
        </w:tc>
        <w:tc>
          <w:tcPr>
            <w:tcW w:type="dxa" w:w="2062"/>
            <w:vAlign w:val="top"/>
          </w:tcPr>
          <w:p>
            <w:pPr>
              <w:spacing w:after="0" w:before="0"/>
            </w:pPr>
            <w:r>
              <w:rPr>
                <w:sz w:val="17"/>
              </w:rPr>
              <w:t>Réserve et accès aux étagères hautes</w:t>
            </w:r>
          </w:p>
        </w:tc>
        <w:tc>
          <w:tcPr>
            <w:tcW w:type="dxa" w:w="2062"/>
            <w:vAlign w:val="top"/>
          </w:tcPr>
          <w:p>
            <w:pPr>
              <w:spacing w:after="0" w:before="0"/>
            </w:pPr>
            <w:r>
              <w:rPr>
                <w:sz w:val="17"/>
              </w:rPr>
              <w:t>Chute de hauteur</w:t>
            </w:r>
          </w:p>
        </w:tc>
        <w:tc>
          <w:tcPr>
            <w:tcW w:type="dxa" w:w="2062"/>
            <w:vAlign w:val="top"/>
          </w:tcPr>
          <w:p>
            <w:pPr>
              <w:spacing w:after="0" w:before="0"/>
            </w:pPr>
            <w:r>
              <w:rPr>
                <w:sz w:val="17"/>
              </w:rPr>
              <w:t>Escabeau</w:t>
            </w:r>
          </w:p>
        </w:tc>
        <w:tc>
          <w:tcPr>
            <w:tcW w:type="dxa" w:w="2062"/>
            <w:vAlign w:val="top"/>
          </w:tcPr>
          <w:p>
            <w:pPr>
              <w:spacing w:after="0" w:before="0"/>
            </w:pPr>
            <w:r>
              <w:rPr>
                <w:sz w:val="17"/>
              </w:rPr>
              <w:t>Cotation précédente agrégée : P=2 ; G=3 ; criticité 6</w:t>
            </w:r>
          </w:p>
        </w:tc>
      </w:tr>
    </w:tbl>
    <w:p>
      <w:r>
        <w:rPr>
          <w:i/>
          <w:sz w:val="18"/>
        </w:rPr>
        <w:t>Lecture de l’extrait : certaines lignes de l’ancien DUERP regroupaient plusieurs risques sous une même cotation. Elles sont ici séparées pour permettre une réévaluation risque par risque. Lorsque la mention « cotation précédente agrégée » apparaît, elle constitue seulement un repère historique : elle ne doit pas être reprise automatiquement.</w:t>
      </w:r>
    </w:p>
    <w:p>
      <w:pPr>
        <w:pStyle w:val="Heading1"/>
      </w:pPr>
      <w:r>
        <w:t>2. Échelle de cotation utilisée dans le TP</w:t>
      </w:r>
    </w:p>
    <w:p>
      <w:pPr>
        <w:spacing w:after="120"/>
      </w:pPr>
      <w:r>
        <w:rPr>
          <w:sz w:val="19"/>
        </w:rPr>
        <w:t>La cotation est une méthode interne de priorisation. Elle n’est pas une échelle réglementaire imposée. La fréquence d’exposition est une information utile pour apprécier la probabilité, mais elle ne se confond pas avec elle. La gravité s’apprécie à partir du dommage potentiel plausible, et non seulement du dommage effectivement observé lors du dernier événement. Une mesure existante n’est pas nécessairement une mesure efficace.</w:t>
      </w:r>
    </w:p>
    <w:tbl>
      <w:tblPr>
        <w:tblStyle w:val="TableGrid"/>
        <w:tblW w:type="auto" w:w="0"/>
        <w:jc w:val="center"/>
        <w:tblLook w:firstColumn="1" w:firstRow="1" w:lastColumn="0" w:lastRow="0" w:noHBand="0" w:noVBand="1" w:val="04A0"/>
      </w:tblPr>
      <w:tblGrid>
        <w:gridCol w:w="3437"/>
        <w:gridCol w:w="3437"/>
        <w:gridCol w:w="3437"/>
      </w:tblGrid>
      <w:tr>
        <w:tc>
          <w:tcPr>
            <w:tcW w:type="dxa" w:w="3437"/>
            <w:shd w:fill="3C7465"/>
            <w:vAlign w:val="center"/>
          </w:tcPr>
          <w:p>
            <w:r>
              <w:rPr>
                <w:b/>
              </w:rPr>
            </w:r>
            <w:r>
              <w:rPr>
                <w:b/>
                <w:color w:val="FFFFFF"/>
                <w:sz w:val="16"/>
              </w:rPr>
              <w:t>Niveau</w:t>
            </w:r>
          </w:p>
        </w:tc>
        <w:tc>
          <w:tcPr>
            <w:tcW w:type="dxa" w:w="3437"/>
            <w:shd w:fill="3C7465"/>
            <w:vAlign w:val="center"/>
          </w:tcPr>
          <w:p>
            <w:r>
              <w:rPr>
                <w:b/>
              </w:rPr>
            </w:r>
            <w:r>
              <w:rPr>
                <w:b/>
                <w:color w:val="FFFFFF"/>
                <w:sz w:val="16"/>
              </w:rPr>
              <w:t>Probabilité / vraisemblance</w:t>
            </w:r>
          </w:p>
        </w:tc>
        <w:tc>
          <w:tcPr>
            <w:tcW w:type="dxa" w:w="3437"/>
            <w:shd w:fill="3C7465"/>
            <w:vAlign w:val="center"/>
          </w:tcPr>
          <w:p>
            <w:r>
              <w:rPr>
                <w:b/>
              </w:rPr>
            </w:r>
            <w:r>
              <w:rPr>
                <w:b/>
                <w:color w:val="FFFFFF"/>
                <w:sz w:val="16"/>
              </w:rPr>
              <w:t>Gravité potentielle</w:t>
            </w:r>
          </w:p>
        </w:tc>
      </w:tr>
      <w:tr>
        <w:tc>
          <w:tcPr>
            <w:tcW w:type="dxa" w:w="3437"/>
            <w:vAlign w:val="top"/>
          </w:tcPr>
          <w:p>
            <w:r/>
            <w:r>
              <w:rPr>
                <w:b w:val="0"/>
                <w:sz w:val="16"/>
              </w:rPr>
              <w:t>1</w:t>
            </w:r>
          </w:p>
        </w:tc>
        <w:tc>
          <w:tcPr>
            <w:tcW w:type="dxa" w:w="3437"/>
            <w:vAlign w:val="top"/>
          </w:tcPr>
          <w:p>
            <w:r/>
            <w:r>
              <w:rPr>
                <w:b w:val="0"/>
                <w:sz w:val="16"/>
              </w:rPr>
              <w:t>Exceptionnelle</w:t>
            </w:r>
          </w:p>
        </w:tc>
        <w:tc>
          <w:tcPr>
            <w:tcW w:type="dxa" w:w="3437"/>
            <w:vAlign w:val="top"/>
          </w:tcPr>
          <w:p>
            <w:r/>
            <w:r>
              <w:rPr>
                <w:b w:val="0"/>
                <w:sz w:val="16"/>
              </w:rPr>
              <w:t>Effet faible ou dommage réversible sans arrêt</w:t>
            </w:r>
          </w:p>
        </w:tc>
      </w:tr>
      <w:tr>
        <w:tc>
          <w:tcPr>
            <w:tcW w:type="dxa" w:w="3437"/>
            <w:vAlign w:val="top"/>
          </w:tcPr>
          <w:p>
            <w:r/>
            <w:r>
              <w:rPr>
                <w:b w:val="0"/>
                <w:sz w:val="16"/>
              </w:rPr>
              <w:t>2</w:t>
            </w:r>
          </w:p>
        </w:tc>
        <w:tc>
          <w:tcPr>
            <w:tcW w:type="dxa" w:w="3437"/>
            <w:vAlign w:val="top"/>
          </w:tcPr>
          <w:p>
            <w:r/>
            <w:r>
              <w:rPr>
                <w:b w:val="0"/>
                <w:sz w:val="16"/>
              </w:rPr>
              <w:t>Rare</w:t>
            </w:r>
          </w:p>
        </w:tc>
        <w:tc>
          <w:tcPr>
            <w:tcW w:type="dxa" w:w="3437"/>
            <w:vAlign w:val="top"/>
          </w:tcPr>
          <w:p>
            <w:r/>
            <w:r>
              <w:rPr>
                <w:b w:val="0"/>
                <w:sz w:val="16"/>
              </w:rPr>
              <w:t>Dommage limité, soins ou arrêt court</w:t>
            </w:r>
          </w:p>
        </w:tc>
      </w:tr>
      <w:tr>
        <w:tc>
          <w:tcPr>
            <w:tcW w:type="dxa" w:w="3437"/>
            <w:vAlign w:val="top"/>
          </w:tcPr>
          <w:p>
            <w:r/>
            <w:r>
              <w:rPr>
                <w:b w:val="0"/>
                <w:sz w:val="16"/>
              </w:rPr>
              <w:t>3</w:t>
            </w:r>
          </w:p>
        </w:tc>
        <w:tc>
          <w:tcPr>
            <w:tcW w:type="dxa" w:w="3437"/>
            <w:vAlign w:val="top"/>
          </w:tcPr>
          <w:p>
            <w:r/>
            <w:r>
              <w:rPr>
                <w:b w:val="0"/>
                <w:sz w:val="16"/>
              </w:rPr>
              <w:t>Possible</w:t>
            </w:r>
          </w:p>
        </w:tc>
        <w:tc>
          <w:tcPr>
            <w:tcW w:type="dxa" w:w="3437"/>
            <w:vAlign w:val="top"/>
          </w:tcPr>
          <w:p>
            <w:r/>
            <w:r>
              <w:rPr>
                <w:b w:val="0"/>
                <w:sz w:val="16"/>
              </w:rPr>
              <w:t>Dommage significatif / perturbation mesurable</w:t>
            </w:r>
          </w:p>
        </w:tc>
      </w:tr>
      <w:tr>
        <w:tc>
          <w:tcPr>
            <w:tcW w:type="dxa" w:w="3437"/>
            <w:vAlign w:val="top"/>
          </w:tcPr>
          <w:p>
            <w:r/>
            <w:r>
              <w:rPr>
                <w:b w:val="0"/>
                <w:sz w:val="16"/>
              </w:rPr>
              <w:t>4</w:t>
            </w:r>
          </w:p>
        </w:tc>
        <w:tc>
          <w:tcPr>
            <w:tcW w:type="dxa" w:w="3437"/>
            <w:vAlign w:val="top"/>
          </w:tcPr>
          <w:p>
            <w:r/>
            <w:r>
              <w:rPr>
                <w:b w:val="0"/>
                <w:sz w:val="16"/>
              </w:rPr>
              <w:t>Probable</w:t>
            </w:r>
          </w:p>
        </w:tc>
        <w:tc>
          <w:tcPr>
            <w:tcW w:type="dxa" w:w="3437"/>
            <w:vAlign w:val="top"/>
          </w:tcPr>
          <w:p>
            <w:r/>
            <w:r>
              <w:rPr>
                <w:b w:val="0"/>
                <w:sz w:val="16"/>
              </w:rPr>
              <w:t>Dommage grave / arrêt important</w:t>
            </w:r>
          </w:p>
        </w:tc>
      </w:tr>
      <w:tr>
        <w:tc>
          <w:tcPr>
            <w:tcW w:type="dxa" w:w="3437"/>
            <w:vAlign w:val="top"/>
          </w:tcPr>
          <w:p>
            <w:r/>
            <w:r>
              <w:rPr>
                <w:b w:val="0"/>
                <w:sz w:val="16"/>
              </w:rPr>
              <w:t>5</w:t>
            </w:r>
          </w:p>
        </w:tc>
        <w:tc>
          <w:tcPr>
            <w:tcW w:type="dxa" w:w="3437"/>
            <w:vAlign w:val="top"/>
          </w:tcPr>
          <w:p>
            <w:r/>
            <w:r>
              <w:rPr>
                <w:b w:val="0"/>
                <w:sz w:val="16"/>
              </w:rPr>
              <w:t>Très probable / récurrente</w:t>
            </w:r>
          </w:p>
        </w:tc>
        <w:tc>
          <w:tcPr>
            <w:tcW w:type="dxa" w:w="3437"/>
            <w:vAlign w:val="top"/>
          </w:tcPr>
          <w:p>
            <w:r/>
            <w:r>
              <w:rPr>
                <w:b w:val="0"/>
                <w:sz w:val="16"/>
              </w:rPr>
              <w:t>Dommage critique : incapacité, risque vital ou conséquence majeure</w:t>
            </w:r>
          </w:p>
        </w:tc>
      </w:tr>
    </w:tbl>
    <w:tbl>
      <w:tblPr>
        <w:tblW w:type="auto" w:w="0"/>
        <w:jc w:val="center"/>
        <w:tblLayout w:type="autofit"/>
        <w:tblLook w:firstColumn="1" w:firstRow="1" w:lastColumn="0" w:lastRow="0" w:noHBand="0" w:noVBand="1" w:val="04A0"/>
      </w:tblPr>
      <w:tblGrid>
        <w:gridCol w:w="10312"/>
      </w:tblGrid>
      <w:tr>
        <w:tc>
          <w:tcPr>
            <w:tcW w:type="dxa" w:w="10312"/>
            <w:shd w:fill="FFF2CC"/>
            <w:vAlign w:val="center"/>
          </w:tcPr>
          <w:p>
            <w:r>
              <w:rPr>
                <w:b/>
              </w:rPr>
            </w:r>
            <w:r>
              <w:rPr>
                <w:b/>
                <w:sz w:val="18"/>
              </w:rPr>
              <w:t>RÈGLE DE VIGILANCE — Tout risque de gravité 5 doit faire l’objet d’un examen spécifique, même si sa probabilité est faible.</w:t>
            </w:r>
          </w:p>
        </w:tc>
      </w:tr>
    </w:tbl>
    <w:p/>
    <w:p>
      <w:pPr>
        <w:pStyle w:val="Heading1"/>
      </w:pPr>
      <w:r>
        <w:t>3. Hiérarchie pratique des actions à discuter</w:t>
      </w:r>
    </w:p>
    <w:p>
      <w:pPr>
        <w:pStyle w:val="ListBullet"/>
      </w:pPr>
      <w:r>
        <w:t>Supprimer le danger ou éviter l’exposition lorsqu’une solution réaliste existe.</w:t>
      </w:r>
    </w:p>
    <w:p>
      <w:pPr>
        <w:pStyle w:val="ListBullet"/>
      </w:pPr>
      <w:r>
        <w:t>Privilégier la protection collective et l’aménagement de l’organisation avant de compter uniquement sur un équipement individuel.</w:t>
      </w:r>
    </w:p>
    <w:p>
      <w:pPr>
        <w:pStyle w:val="ListBullet"/>
      </w:pPr>
      <w:r>
        <w:t>Définir un responsable, un délai et une preuve de réalisation pour chaque action.</w:t>
      </w:r>
    </w:p>
    <w:p>
      <w:pPr>
        <w:pStyle w:val="ListBullet"/>
      </w:pPr>
      <w:r>
        <w:t>Vérifier l’efficacité : une action réalisée n’est pas nécessairement une action efficace.</w:t>
      </w:r>
    </w:p>
    <w:p>
      <w:pPr>
        <w:pStyle w:val="Heading1"/>
      </w:pPr>
      <w:r>
        <w:t>4. Point de droit à vérifier</w:t>
      </w:r>
    </w:p>
    <w:p>
      <w:r>
        <w:rPr>
          <w:sz w:val="19"/>
        </w:rPr>
        <w:t>Pour la tâche 8, vérifiez sur une source institutionnelle les cas de mise à jour du DUERP ainsi que la règle de conservation / traçabilité des versions successives. Relevez la règle utile, citez la source et datez votre consultation. Une recherche libre n’est pas attendue.</w:t>
      </w:r>
    </w:p>
    <w:p>
      <w:pPr>
        <w:pStyle w:val="ListBullet"/>
        <w:spacing w:after="40"/>
      </w:pPr>
      <w:r>
        <w:rPr>
          <w:sz w:val="18"/>
        </w:rPr>
        <w:t>Sources ciblées : Code du travail, art. R4121-2 (mise à jour) et R4121-4 (conservation / accès), sur Légifrance ; Ministère du Travail — page DUERP.</w:t>
      </w:r>
    </w:p>
    <w:p>
      <w:r>
        <w:rPr>
          <w:sz w:val="17"/>
        </w:rPr>
        <w:t>Légifrance R4121-2 : https://www.legifrance.gouv.fr/codes/article_lc/LEGIARTI000045386446</w:t>
      </w:r>
    </w:p>
    <w:p>
      <w:r>
        <w:rPr>
          <w:sz w:val="17"/>
        </w:rPr>
        <w:t>Ministère du Travail — DUERP : https://travail-emploi.gouv.fr/le-document-unique-devaluation-des-risques-professionnels-duerp</w:t>
      </w:r>
    </w:p>
    <w:p>
      <w:pPr>
        <w:spacing w:before="80" w:after="160"/>
      </w:pPr>
    </w:p>
    <w:p/>
    <w:p/>
    <w:sectPr w:rsidR="00FC693F" w:rsidRPr="0006063C"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15D7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3C746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315D7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