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R04 — Incident cyber : pièces et questions de qualification</w:t>
      </w:r>
    </w:p>
    <w:tbl>
      <w:tblPr>
        <w:tblW w:type="auto" w:w="0"/>
        <w:jc w:val="center"/>
        <w:tblLayout w:type="autofit"/>
        <w:tblLook w:firstColumn="1" w:firstRow="1" w:lastColumn="0" w:lastRow="0" w:noHBand="0" w:noVBand="1" w:val="04A0"/>
      </w:tblPr>
      <w:tblGrid>
        <w:gridCol w:w="10312"/>
      </w:tblGrid>
      <w:tr>
        <w:tc>
          <w:tcPr>
            <w:tcW w:type="dxa" w:w="10312"/>
            <w:shd w:fill="FFF2CC"/>
            <w:vAlign w:val="top"/>
          </w:tcPr>
          <w:p>
            <w:r/>
            <w:r>
              <w:rPr>
                <w:b/>
                <w:sz w:val="18"/>
              </w:rPr>
              <w:t>SCÉNARIO CRÉÉ POUR LE TP — ces événements sont fictifs et n’indiquent pas qu’un incident réel a concerné 1083.</w:t>
            </w:r>
          </w:p>
        </w:tc>
      </w:tr>
    </w:tbl>
    <w:p/>
    <w:p>
      <w:pPr>
        <w:pStyle w:val="Heading1"/>
      </w:pPr>
      <w:r>
        <w:t>1. Courriel reçu par le service clients</w:t>
      </w:r>
    </w:p>
    <w:tbl>
      <w:tblPr>
        <w:tblStyle w:val="TableGrid"/>
        <w:tblW w:type="auto" w:w="0"/>
        <w:jc w:val="center"/>
        <w:tblLook w:firstColumn="1" w:firstRow="1" w:lastColumn="0" w:lastRow="0" w:noHBand="0" w:noVBand="1" w:val="04A0"/>
      </w:tblPr>
      <w:tblGrid>
        <w:gridCol w:w="5156"/>
        <w:gridCol w:w="5156"/>
      </w:tblGrid>
      <w:tr>
        <w:tc>
          <w:tcPr>
            <w:tcW w:type="dxa" w:w="5156"/>
            <w:shd w:fill="EAF2F6"/>
            <w:vAlign w:val="top"/>
          </w:tcPr>
          <w:p>
            <w:r/>
            <w:r>
              <w:rPr>
                <w:b/>
                <w:sz w:val="16"/>
              </w:rPr>
              <w:t>De</w:t>
            </w:r>
          </w:p>
        </w:tc>
        <w:tc>
          <w:tcPr>
            <w:tcW w:type="dxa" w:w="5156"/>
            <w:vAlign w:val="top"/>
          </w:tcPr>
          <w:p>
            <w:r/>
            <w:r>
              <w:rPr>
                <w:b w:val="0"/>
                <w:sz w:val="16"/>
              </w:rPr>
              <w:t>Livraisons Express &lt;suivi-colis@service-livraison-exemple.com&gt;</w:t>
            </w:r>
          </w:p>
        </w:tc>
      </w:tr>
      <w:tr>
        <w:tc>
          <w:tcPr>
            <w:tcW w:type="dxa" w:w="5156"/>
            <w:shd w:fill="EAF2F6"/>
            <w:vAlign w:val="top"/>
          </w:tcPr>
          <w:p>
            <w:r/>
            <w:r>
              <w:rPr>
                <w:b/>
                <w:sz w:val="16"/>
              </w:rPr>
              <w:t>Objet</w:t>
            </w:r>
          </w:p>
        </w:tc>
        <w:tc>
          <w:tcPr>
            <w:tcW w:type="dxa" w:w="5156"/>
            <w:vAlign w:val="top"/>
          </w:tcPr>
          <w:p>
            <w:r/>
            <w:r>
              <w:rPr>
                <w:b w:val="0"/>
                <w:sz w:val="16"/>
              </w:rPr>
              <w:t>Action requise : suspension de vos expéditions</w:t>
            </w:r>
          </w:p>
        </w:tc>
      </w:tr>
      <w:tr>
        <w:tc>
          <w:tcPr>
            <w:tcW w:type="dxa" w:w="5156"/>
            <w:shd w:fill="EAF2F6"/>
            <w:vAlign w:val="top"/>
          </w:tcPr>
          <w:p>
            <w:r/>
            <w:r>
              <w:rPr>
                <w:b/>
                <w:sz w:val="16"/>
              </w:rPr>
              <w:t>À</w:t>
            </w:r>
          </w:p>
        </w:tc>
        <w:tc>
          <w:tcPr>
            <w:tcW w:type="dxa" w:w="5156"/>
            <w:vAlign w:val="top"/>
          </w:tcPr>
          <w:p>
            <w:r/>
            <w:r>
              <w:rPr>
                <w:b w:val="0"/>
                <w:sz w:val="16"/>
              </w:rPr>
              <w:t>service.clients@entreprise-exemple.fr</w:t>
            </w:r>
          </w:p>
        </w:tc>
      </w:tr>
      <w:tr>
        <w:tc>
          <w:tcPr>
            <w:tcW w:type="dxa" w:w="5156"/>
            <w:shd w:fill="EAF2F6"/>
            <w:vAlign w:val="top"/>
          </w:tcPr>
          <w:p>
            <w:r/>
            <w:r>
              <w:rPr>
                <w:b/>
                <w:sz w:val="16"/>
              </w:rPr>
              <w:t>Message</w:t>
            </w:r>
          </w:p>
        </w:tc>
        <w:tc>
          <w:tcPr>
            <w:tcW w:type="dxa" w:w="5156"/>
            <w:vAlign w:val="top"/>
          </w:tcPr>
          <w:p>
            <w:r/>
            <w:r>
              <w:rPr>
                <w:b w:val="0"/>
                <w:sz w:val="16"/>
              </w:rPr>
              <w:t>Une anomalie bloque les expéditions. Revalidez votre accès professionnel avant 09 h 00 en utilisant le bouton contenu dans le message.</w:t>
            </w:r>
          </w:p>
        </w:tc>
      </w:tr>
      <w:tr>
        <w:tc>
          <w:tcPr>
            <w:tcW w:type="dxa" w:w="5156"/>
            <w:shd w:fill="EAF2F6"/>
            <w:vAlign w:val="top"/>
          </w:tcPr>
          <w:p>
            <w:r/>
            <w:r>
              <w:rPr>
                <w:b/>
                <w:sz w:val="16"/>
              </w:rPr>
              <w:t>Pièce / lien</w:t>
            </w:r>
          </w:p>
        </w:tc>
        <w:tc>
          <w:tcPr>
            <w:tcW w:type="dxa" w:w="5156"/>
            <w:vAlign w:val="top"/>
          </w:tcPr>
          <w:p>
            <w:r/>
            <w:r>
              <w:rPr>
                <w:b w:val="0"/>
                <w:sz w:val="16"/>
              </w:rPr>
              <w:t>Lien externe vers une page imitant un portail de connexion.</w:t>
            </w:r>
          </w:p>
        </w:tc>
      </w:tr>
    </w:tbl>
    <w:p>
      <w:pPr>
        <w:pStyle w:val="Heading1"/>
      </w:pPr>
      <w:r>
        <w:t>2. Message interne de la responsable e-commerce</w:t>
      </w:r>
    </w:p>
    <w:p>
      <w:r>
        <w:rPr>
          <w:b/>
        </w:rPr>
        <w:t xml:space="preserve">De : </w:t>
      </w:r>
      <w:r>
        <w:t>Responsable e-commerce (personnage fictif)</w:t>
      </w:r>
    </w:p>
    <w:p>
      <w:r>
        <w:rPr>
          <w:b/>
        </w:rPr>
        <w:t xml:space="preserve">À : </w:t>
      </w:r>
      <w:r>
        <w:t>Assistant(e) de gestion</w:t>
      </w:r>
    </w:p>
    <w:p>
      <w:r>
        <w:rPr>
          <w:b/>
        </w:rPr>
        <w:t xml:space="preserve">Objet : </w:t>
      </w:r>
      <w:r>
        <w:t>Besoin d’une note de situation et d’un plan immédiat</w:t>
      </w:r>
    </w:p>
    <w:p>
      <w:r>
        <w:t>Nous avons désactivé le compte concerné et demandé les journaux au prestataire. Distinguez les faits confirmés, les hypothèses et les informations manquantes. Dans ce TP, vous ne contactez pas vous-même la CNIL ni les personnes concernées : préparez la qualification et l’alerte à la personne responsable.</w:t>
      </w:r>
    </w:p>
    <w:p>
      <w:pPr>
        <w:pStyle w:val="Heading1"/>
      </w:pPr>
      <w:r>
        <w:t>3. Questions de qualification</w:t>
      </w:r>
    </w:p>
    <w:p>
      <w:pPr>
        <w:pStyle w:val="ListBullet"/>
      </w:pPr>
      <w:r>
        <w:t>Quelles actions sont confirmées par les journaux ou les messages disponibles ?</w:t>
      </w:r>
    </w:p>
    <w:p>
      <w:pPr>
        <w:pStyle w:val="ListBullet"/>
      </w:pPr>
      <w:r>
        <w:t>Quelles données ont réellement été consultées, copiées, altérées ou rendues indisponibles ?</w:t>
      </w:r>
    </w:p>
    <w:p>
      <w:pPr>
        <w:pStyle w:val="ListBullet"/>
      </w:pPr>
      <w:r>
        <w:t>Quelles catégories de personnes sont potentiellement concernées ? Le nombre de lignes du fichier correspond-il nécessairement au nombre de personnes ?</w:t>
      </w:r>
    </w:p>
    <w:p>
      <w:pPr>
        <w:pStyle w:val="ListBullet"/>
      </w:pPr>
      <w:r>
        <w:t>Quelles conséquences pourraient résulter de l’exposition des données pour les personnes concernées ? Distinguez-les des conséquences pour l’entreprise.</w:t>
      </w:r>
    </w:p>
    <w:p>
      <w:pPr>
        <w:pStyle w:val="ListBullet"/>
      </w:pPr>
      <w:r>
        <w:t>L’accès concerné permettait-il d’atteindre d’autres applications ?</w:t>
      </w:r>
    </w:p>
    <w:p>
      <w:pPr>
        <w:pStyle w:val="ListBullet"/>
      </w:pPr>
      <w:r>
        <w:t>Quelles mesures ont déjà limité l’incident ? Quelles preuves numériques doivent être conservées sans être altérées ?</w:t>
      </w:r>
    </w:p>
    <w:p>
      <w:pPr>
        <w:pStyle w:val="ListBullet"/>
      </w:pPr>
      <w:r>
        <w:t>Quelles informations manquent encore avant de conclure ?</w:t>
      </w:r>
    </w:p>
    <w:p>
      <w:pPr>
        <w:pStyle w:val="Heading1"/>
      </w:pPr>
      <w:r>
        <w:t>4. Sources à consulter pour qualifier et décider</w:t>
      </w:r>
    </w:p>
    <w:p>
      <w:r>
        <w:t>Les règles ne sont volontairement pas reproduites ici. Utilisez R09, la fiche pratique cyber du centre de ressources et les sources institutionnelles ciblées ci-dessous lorsque la tâche vous demande de vérifier la règle ou les bons réflexes :</w:t>
      </w:r>
    </w:p>
    <w:p>
      <w:pPr>
        <w:pStyle w:val="ListBullet"/>
        <w:spacing w:after="40"/>
      </w:pPr>
      <w:r>
        <w:rPr>
          <w:b/>
        </w:rPr>
        <w:t xml:space="preserve">CNIL — violations de données: </w:t>
      </w:r>
      <w:r>
        <w:t>https://www.cnil.fr/fr/violations-de-donnees-personnelles-les-regles-suivre</w:t>
      </w:r>
    </w:p>
    <w:p>
      <w:pPr>
        <w:pStyle w:val="ListBullet"/>
        <w:spacing w:after="40"/>
      </w:pPr>
      <w:r>
        <w:rPr>
          <w:b/>
        </w:rPr>
        <w:t xml:space="preserve">CNIL — notifier une violation: </w:t>
      </w:r>
      <w:r>
        <w:t>https://www.cnil.fr/fr/services-en-ligne/notifier-une-violation-de-donnees-personnelles</w:t>
      </w:r>
    </w:p>
    <w:p>
      <w:pPr>
        <w:pStyle w:val="ListBullet"/>
        <w:spacing w:after="40"/>
      </w:pPr>
      <w:r>
        <w:rPr>
          <w:b/>
        </w:rPr>
        <w:t xml:space="preserve">ANSSI / MesServicesCyber — TPE/PME: </w:t>
      </w:r>
      <w:r>
        <w:t>https://messervices.cyber.gouv.fr/guides/la-cybersecurite-pour-les-tpepme-en-treize-questions</w:t>
      </w:r>
    </w:p>
    <w:p>
      <w:pPr>
        <w:pStyle w:val="ListBullet"/>
      </w:pPr>
      <w:r>
        <w:t>Cybermalveillance.gouv.fr — consignes pour les collaborateurs en cas de cyberattaque: https://www.cybermalveillance.gouv.fr/tous-nos-contenus/bonnes-pratiques/cyberattaque-consignes-collaborateurs</w:t>
      </w:r>
    </w:p>
    <w:p>
      <w:pPr>
        <w:pStyle w:val="Heading1"/>
      </w:pPr>
      <w:r>
        <w:t>5. Travail professionnel attendu</w:t>
      </w:r>
    </w:p>
    <w:p>
      <w:r>
        <w:t>Établir les faits, conserver les preuves, apprécier séparément les conséquences possibles pour l’entreprise et pour les personnes, rechercher la règle applicable, alerter et proposer des mesures. Une ligne de fichier n’est pas automatiquement une personne et une tentative d’accès n’est pas automatiquement un accès réussi. Ne jamais transformer une hypothèse en fait établi.</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15D7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74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15D7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