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0"/>
        </w:rPr>
        <w:t>R07 — Commande de la direction : projet continuité et qualité</w:t>
      </w:r>
    </w:p>
    <w:tbl>
      <w:tblPr>
        <w:tblW w:type="auto" w:w="0"/>
        <w:jc w:val="center"/>
        <w:tblLayout w:type="autofit"/>
        <w:tblLook w:firstColumn="1" w:firstRow="1" w:lastColumn="0" w:lastRow="0" w:noHBand="0" w:noVBand="1" w:val="04A0"/>
      </w:tblPr>
      <w:tblGrid>
        <w:gridCol w:w="10312"/>
      </w:tblGrid>
      <w:tr>
        <w:tc>
          <w:tcPr>
            <w:tcW w:type="dxa" w:w="10312"/>
            <w:shd w:fill="FFF2CC"/>
            <w:vAlign w:val="top"/>
          </w:tcPr>
          <w:p>
            <w:r/>
            <w:r>
              <w:rPr>
                <w:b/>
                <w:sz w:val="18"/>
              </w:rPr>
              <w:t>COMMANDE CRÉÉE POUR LE TP — les objectifs, contraintes et moyens ci-dessous sont fictifs.</w:t>
            </w:r>
          </w:p>
        </w:tc>
      </w:tr>
    </w:tbl>
    <w:p/>
    <w:p>
      <w:pPr>
        <w:pStyle w:val="Heading1"/>
      </w:pPr>
      <w:r>
        <w:rPr>
          <w:sz w:val="20"/>
        </w:rPr>
        <w:t>1. Demande de la direction</w:t>
      </w:r>
    </w:p>
    <w:p>
      <w:r>
        <w:rPr>
          <w:sz w:val="20"/>
        </w:rPr>
        <w:t>Avant la prochaine période de forte activité, la direction souhaite réduire la dépendance à quelques partenaires critiques, mieux centraliser les preuves liées aux engagements / certifications et diminuer les retours clients évitables. Le projet doit rester compatible avec les moyens d’une PME et éviter les procédures inutilement lourdes. La période de six semaines constitue une phase pilote : il n’est pas demandé de traiter tous les risques ni de définir à l’avance des actions qualité dont les causes ne sont pas encore établies.</w:t>
      </w:r>
    </w:p>
    <w:p>
      <w:pPr>
        <w:pStyle w:val="Heading1"/>
      </w:pPr>
      <w:r>
        <w:rPr>
          <w:sz w:val="20"/>
        </w:rPr>
        <w:t>2. Contraintes du mini-projet</w:t>
      </w:r>
    </w:p>
    <w:tbl>
      <w:tblPr>
        <w:tblStyle w:val="TableGrid"/>
        <w:tblW w:type="auto" w:w="0"/>
        <w:jc w:val="center"/>
        <w:tblLook w:firstColumn="1" w:firstRow="1" w:lastColumn="0" w:lastRow="0" w:noHBand="0" w:noVBand="1" w:val="04A0"/>
      </w:tblPr>
      <w:tblGrid>
        <w:gridCol w:w="5156"/>
        <w:gridCol w:w="5156"/>
      </w:tblGrid>
      <w:tr>
        <w:tc>
          <w:tcPr>
            <w:tcW w:type="dxa" w:w="5156"/>
            <w:shd w:fill="315D77"/>
            <w:vAlign w:val="top"/>
          </w:tcPr>
          <w:p>
            <w:r/>
            <w:r>
              <w:rPr>
                <w:b/>
                <w:color w:val="FFFFFF"/>
                <w:sz w:val="16"/>
              </w:rPr>
              <w:t>Contrainte</w:t>
            </w:r>
          </w:p>
        </w:tc>
        <w:tc>
          <w:tcPr>
            <w:tcW w:type="dxa" w:w="5156"/>
            <w:shd w:fill="315D77"/>
            <w:vAlign w:val="top"/>
          </w:tcPr>
          <w:p>
            <w:r/>
            <w:r>
              <w:rPr>
                <w:b/>
                <w:color w:val="FFFFFF"/>
                <w:sz w:val="16"/>
              </w:rPr>
              <w:t>Donnée du scénario</w:t>
            </w:r>
          </w:p>
        </w:tc>
      </w:tr>
      <w:tr>
        <w:tc>
          <w:tcPr>
            <w:tcW w:type="dxa" w:w="5156"/>
            <w:vAlign w:val="top"/>
          </w:tcPr>
          <w:p>
            <w:r/>
            <w:r>
              <w:rPr>
                <w:b/>
                <w:sz w:val="16"/>
              </w:rPr>
              <w:t>Délai</w:t>
            </w:r>
          </w:p>
        </w:tc>
        <w:tc>
          <w:tcPr>
            <w:tcW w:type="dxa" w:w="5156"/>
            <w:vAlign w:val="top"/>
          </w:tcPr>
          <w:p>
            <w:r/>
            <w:r>
              <w:rPr>
                <w:b w:val="0"/>
                <w:sz w:val="16"/>
              </w:rPr>
              <w:t>6 semaines pour proposer et tester les premières actions</w:t>
            </w:r>
          </w:p>
        </w:tc>
      </w:tr>
      <w:tr>
        <w:tc>
          <w:tcPr>
            <w:tcW w:type="dxa" w:w="5156"/>
            <w:vAlign w:val="top"/>
          </w:tcPr>
          <w:p>
            <w:r/>
            <w:r>
              <w:rPr>
                <w:b/>
                <w:sz w:val="16"/>
              </w:rPr>
              <w:t>Équipe</w:t>
            </w:r>
          </w:p>
        </w:tc>
        <w:tc>
          <w:tcPr>
            <w:tcW w:type="dxa" w:w="5156"/>
            <w:vAlign w:val="top"/>
          </w:tcPr>
          <w:p>
            <w:r/>
            <w:r>
              <w:rPr>
                <w:b w:val="0"/>
                <w:sz w:val="16"/>
              </w:rPr>
              <w:t>Direction, achats/production, qualité/SAV, e-commerce, assistant(e) de gestion</w:t>
            </w:r>
          </w:p>
        </w:tc>
      </w:tr>
      <w:tr>
        <w:tc>
          <w:tcPr>
            <w:tcW w:type="dxa" w:w="5156"/>
            <w:vAlign w:val="top"/>
          </w:tcPr>
          <w:p>
            <w:r/>
            <w:r>
              <w:rPr>
                <w:b/>
                <w:sz w:val="16"/>
              </w:rPr>
              <w:t>Budget test</w:t>
            </w:r>
          </w:p>
        </w:tc>
        <w:tc>
          <w:tcPr>
            <w:tcW w:type="dxa" w:w="5156"/>
            <w:vAlign w:val="top"/>
          </w:tcPr>
          <w:p>
            <w:r/>
            <w:r>
              <w:rPr>
                <w:b w:val="0"/>
                <w:sz w:val="16"/>
              </w:rPr>
              <w:t>8 000 € maximum avant validation complémentaire</w:t>
            </w:r>
          </w:p>
        </w:tc>
      </w:tr>
      <w:tr>
        <w:tc>
          <w:tcPr>
            <w:tcW w:type="dxa" w:w="5156"/>
            <w:vAlign w:val="top"/>
          </w:tcPr>
          <w:p>
            <w:r/>
            <w:r>
              <w:rPr>
                <w:b/>
                <w:sz w:val="16"/>
              </w:rPr>
              <w:t>Période sensible</w:t>
            </w:r>
          </w:p>
        </w:tc>
        <w:tc>
          <w:tcPr>
            <w:tcW w:type="dxa" w:w="5156"/>
            <w:vAlign w:val="top"/>
          </w:tcPr>
          <w:p>
            <w:r/>
            <w:r>
              <w:rPr>
                <w:b w:val="0"/>
                <w:sz w:val="16"/>
              </w:rPr>
              <w:t>Forte activité commerciale à partir de novembre</w:t>
            </w:r>
          </w:p>
        </w:tc>
      </w:tr>
      <w:tr>
        <w:tc>
          <w:tcPr>
            <w:tcW w:type="dxa" w:w="5156"/>
            <w:vAlign w:val="top"/>
          </w:tcPr>
          <w:p>
            <w:r/>
            <w:r>
              <w:rPr>
                <w:b/>
                <w:sz w:val="16"/>
              </w:rPr>
              <w:t>Documentation</w:t>
            </w:r>
          </w:p>
        </w:tc>
        <w:tc>
          <w:tcPr>
            <w:tcW w:type="dxa" w:w="5156"/>
            <w:vAlign w:val="top"/>
          </w:tcPr>
          <w:p>
            <w:r/>
            <w:r>
              <w:rPr>
                <w:b w:val="0"/>
                <w:sz w:val="16"/>
              </w:rPr>
              <w:t>Les preuves de certification et procédures doivent être centralisées</w:t>
            </w:r>
          </w:p>
        </w:tc>
      </w:tr>
      <w:tr>
        <w:tc>
          <w:tcPr>
            <w:tcW w:type="dxa" w:w="5156"/>
            <w:vAlign w:val="top"/>
          </w:tcPr>
          <w:p>
            <w:r/>
            <w:r>
              <w:rPr>
                <w:b/>
                <w:sz w:val="16"/>
              </w:rPr>
              <w:t>Principe</w:t>
            </w:r>
          </w:p>
        </w:tc>
        <w:tc>
          <w:tcPr>
            <w:tcW w:type="dxa" w:w="5156"/>
            <w:vAlign w:val="top"/>
          </w:tcPr>
          <w:p>
            <w:r/>
            <w:r>
              <w:rPr>
                <w:b w:val="0"/>
                <w:sz w:val="16"/>
              </w:rPr>
              <w:t>Ne pas confondre conformité réglementaire, certification volontaire et engagement marketing</w:t>
            </w:r>
          </w:p>
        </w:tc>
      </w:tr>
      <w:tr>
        <w:tc>
          <w:tcPr>
            <w:tcW w:type="dxa" w:w="5156"/>
          </w:tcPr>
          <w:p>
            <w:r>
              <w:t>Périmètre pilote</w:t>
            </w:r>
          </w:p>
        </w:tc>
        <w:tc>
          <w:tcPr>
            <w:tcW w:type="dxa" w:w="5156"/>
          </w:tcPr>
          <w:p>
            <w:r>
              <w:t>Trois dépendances prioritaires + mise à jour de veille + préparation du diagnostic qualité. Les actions qualité détaillées seront précisées après le diagnostic de la situation 6.</w:t>
            </w:r>
          </w:p>
        </w:tc>
      </w:tr>
    </w:tbl>
    <w:p>
      <w:pPr>
        <w:pStyle w:val="Heading1"/>
      </w:pPr>
      <w:r>
        <w:rPr>
          <w:sz w:val="20"/>
        </w:rPr>
        <w:t>3. Livrables attendus</w:t>
      </w:r>
    </w:p>
    <w:p>
      <w:pPr>
        <w:pStyle w:val="ListBullet"/>
      </w:pPr>
      <w:r>
        <w:rPr>
          <w:sz w:val="20"/>
        </w:rPr>
        <w:t>Analyse des dépendances fournisseurs, trois priorités argumentées et propositions de continuité à tester.</w:t>
      </w:r>
    </w:p>
    <w:p>
      <w:pPr>
        <w:pStyle w:val="ListBullet"/>
      </w:pPr>
      <w:r>
        <w:rPr>
          <w:sz w:val="20"/>
        </w:rPr>
        <w:t>Mise à jour de veille utile à la décision sur les sujets demandés.</w:t>
      </w:r>
    </w:p>
    <w:p>
      <w:pPr>
        <w:pStyle w:val="ListBullet"/>
      </w:pPr>
      <w:r>
        <w:rPr>
          <w:sz w:val="20"/>
        </w:rPr>
        <w:t>Cadrage initial du mini-projet : objectif, périmètre, acteurs, contraintes, livrables, jalons, tâches, indicateurs et risques du projet. Le volet qualité comporte d’abord un diagnostic et un jalon de décision ; les actions détaillées seront précisées ensuite.</w:t>
      </w:r>
    </w:p>
    <w:p>
      <w:pPr>
        <w:pStyle w:val="ListBullet"/>
      </w:pPr>
      <w:r>
        <w:rPr>
          <w:sz w:val="20"/>
        </w:rPr>
        <w:t>Suivi du projet et capitalisation des décisions / résultats.</w:t>
      </w:r>
    </w:p>
    <w:p>
      <w:pPr>
        <w:pStyle w:val="Heading1"/>
      </w:pPr>
      <w:r>
        <w:rPr>
          <w:sz w:val="20"/>
        </w:rPr>
        <w:t>4. Point de vigilance méthodologique</w:t>
      </w:r>
    </w:p>
    <w:p>
      <w:r>
        <w:rPr>
          <w:sz w:val="20"/>
        </w:rPr>
        <w:t>Une corrélation ou un faisceau d’indices peut orienter l’analyse mais ne prouve pas une cause. Toute conclusion doit pouvoir être reliée à une preuve, et les informations manquantes doivent être signalées. Un planning initial peut donc comporter un lot ou une décision « à préciser après diagnostic » : planifier ne signifie pas inventer.</w:t>
      </w:r>
    </w:p>
    <w:p>
      <w:pPr>
        <w:pStyle w:val="Heading1"/>
      </w:pPr>
      <w:r>
        <w:rPr>
          <w:sz w:val="20"/>
        </w:rPr>
        <w:t>5. Information réelle sur 1083 à ne pas confondre avec les données du scénario</w:t>
      </w:r>
    </w:p>
    <w:p>
      <w:r>
        <w:rPr>
          <w:sz w:val="20"/>
        </w:rPr>
        <w:t>L’histoire publiée par 1083 mentionne la fermeture d’un sous-traitant de coupe en 2023. Ce fait peut servir de point de départ à un retour d’expérience sur la dépendance et la continuité. Les partenaires désignés par des lettres dans R08 sont, eux, entièrement fictifs.</w:t>
      </w:r>
    </w:p>
    <w:p>
      <w:p>
        <w:r>
          <w:rPr>
            <w:i/>
          </w:rPr>
          <w:t>Source réelle à vérifier : 1083, « L’histoire de 1083 : des jeans relocalisés en France » — https://www.1083.fr/histoire-1083.html (consultée le 20/09/2026).</w:t>
        </w:r>
      </w:p>
    </w:p>
    <w:p>
      <w:r>
        <w:rPr>
          <w:i/>
          <w:sz w:val="18"/>
        </w:rPr>
        <w:t>Source réelle à vérifier : 1083, « L’histoire de 1083 : des jeans relocalisés en France » — https://www.1083.fr/histoire-1083.html (consultée le 20/09/2026).</w:t>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15D7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C746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315D7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