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M16 — Procédure / mode opératoire</w:t>
      </w:r>
    </w:p>
    <w:p>
      <w:pPr>
        <w:pStyle w:val="Subtitle"/>
      </w:pPr>
      <w:r>
        <w:t>Support de formalisation d’une amélioration qualité</w:t>
      </w:r>
    </w:p>
    <w:p>
      <w:r>
        <w:t>Ce document est un support de production : il ne contient aucune réponse au dossier. Les éléments saisis doivent être justifiés par les pièces disponibles.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7EEF8"/>
          </w:tcPr>
          <w:p>
            <w:r>
              <w:t>Titre de la procédure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  <w:shd w:fill="E7EEF8"/>
          </w:tcPr>
          <w:p>
            <w:r>
              <w:t>Objectif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  <w:shd w:fill="E7EEF8"/>
          </w:tcPr>
          <w:p>
            <w:r>
              <w:t>Périmètre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  <w:shd w:fill="E7EEF8"/>
          </w:tcPr>
          <w:p>
            <w:r>
              <w:t>Déclencheur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  <w:shd w:fill="E7EEF8"/>
          </w:tcPr>
          <w:p>
            <w:r>
              <w:t>Responsable / rôles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  <w:shd w:fill="E7EEF8"/>
          </w:tcPr>
          <w:p>
            <w:r>
              <w:t>Entrées / pièces nécessaires</w:t>
            </w:r>
          </w:p>
        </w:tc>
        <w:tc>
          <w:tcPr>
            <w:tcW w:type="dxa" w:w="5100"/>
          </w:tcPr>
          <w:p>
            <w:r/>
          </w:p>
        </w:tc>
      </w:tr>
    </w:tbl>
    <w:p>
      <w:pPr>
        <w:pStyle w:val="Heading1"/>
      </w:pPr>
      <w:r>
        <w:t>Étapes exécutables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E7EEF8"/>
          </w:tcPr>
          <w:p>
            <w:r>
              <w:t>N°</w:t>
            </w:r>
          </w:p>
        </w:tc>
        <w:tc>
          <w:tcPr>
            <w:tcW w:type="dxa" w:w="2040"/>
            <w:shd w:fill="E7EEF8"/>
          </w:tcPr>
          <w:p>
            <w:r>
              <w:t>Action</w:t>
            </w:r>
          </w:p>
        </w:tc>
        <w:tc>
          <w:tcPr>
            <w:tcW w:type="dxa" w:w="2040"/>
            <w:shd w:fill="E7EEF8"/>
          </w:tcPr>
          <w:p>
            <w:r>
              <w:t>Qui ?</w:t>
            </w:r>
          </w:p>
        </w:tc>
        <w:tc>
          <w:tcPr>
            <w:tcW w:type="dxa" w:w="2040"/>
            <w:shd w:fill="E7EEF8"/>
          </w:tcPr>
          <w:p>
            <w:r>
              <w:t>Trace / preuve</w:t>
            </w:r>
          </w:p>
        </w:tc>
        <w:tc>
          <w:tcPr>
            <w:tcW w:type="dxa" w:w="2040"/>
            <w:shd w:fill="E7EEF8"/>
          </w:tcPr>
          <w:p>
            <w:r>
              <w:t>Point de contrôle</w:t>
            </w:r>
          </w:p>
        </w:tc>
      </w:tr>
      <w:tr>
        <w:tc>
          <w:tcPr>
            <w:tcW w:type="dxa" w:w="2040"/>
          </w:tcPr>
          <w:p>
            <w:r>
              <w:t>1</w:t>
            </w:r>
          </w:p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>
              <w:t>2</w:t>
            </w:r>
          </w:p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>
              <w:t>3</w:t>
            </w:r>
          </w:p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>
              <w:t>4</w:t>
            </w:r>
          </w:p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>
              <w:t>5</w:t>
            </w:r>
          </w:p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>
              <w:t>6</w:t>
            </w:r>
          </w:p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</w:tbl>
    <w:p>
      <w:pPr>
        <w:pStyle w:val="Heading1"/>
      </w:pPr>
      <w:r>
        <w:t>Cas particulier / anomalie</w:t>
      </w:r>
    </w:p>
    <w:p>
      <w:r>
        <w:br/>
        <w:br/>
      </w:r>
    </w:p>
    <w:p>
      <w:pPr>
        <w:pStyle w:val="Heading1"/>
      </w:pPr>
      <w:r>
        <w:t>Contrôle de qualité de la procédure</w:t>
      </w:r>
    </w:p>
    <w:p>
      <w:pPr>
        <w:pStyle w:val="ListBullet"/>
      </w:pPr>
      <w:r>
        <w:t>Une personne qui ne connaît pas la tâche peut comprendre l’ordre des opérations.</w:t>
      </w:r>
    </w:p>
    <w:p>
      <w:pPr>
        <w:pStyle w:val="ListBullet"/>
      </w:pPr>
      <w:r>
        <w:t>Chaque étape produit une trace ou permet un contrôle lorsqu’une preuve est nécessaire.</w:t>
      </w:r>
    </w:p>
    <w:p>
      <w:pPr>
        <w:pStyle w:val="ListBullet"/>
      </w:pPr>
      <w:r>
        <w:t>Les responsabilités sont distinctes des décisions à faire valider.</w:t>
      </w:r>
    </w:p>
    <w:p>
      <w:pPr>
        <w:pStyle w:val="ListBullet"/>
      </w:pPr>
      <w:r>
        <w:t>La procédure ne décrit pas un cas unique : elle est réutilisable.</w:t>
      </w:r>
    </w:p>
    <w:p>
      <w:pPr>
        <w:pStyle w:val="ListBullet"/>
      </w:pPr>
      <w:r>
        <w:t>Les exceptions importantes sont signalées sans prétendre tout prévoir.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