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0F4C5C"/>
          <w:sz w:val="36"/>
        </w:rPr>
        <w:t>DOSSIER ÉTUDIANT</w:t>
      </w:r>
    </w:p>
    <w:p>
      <w:pPr>
        <w:jc w:val="center"/>
      </w:pPr>
      <w:r>
        <w:rPr>
          <w:b/>
          <w:color w:val="173F45"/>
          <w:sz w:val="44"/>
        </w:rPr>
        <w:t>1083 — Sécuriser la croissance d’une PME industrielle et omnicanale</w:t>
      </w:r>
    </w:p>
    <w:p>
      <w:pPr>
        <w:jc w:val="center"/>
      </w:pPr>
      <w:r>
        <w:rPr>
          <w:sz w:val="28"/>
        </w:rPr>
        <w:t>TP transversal — Participer à la gestion des risques de la PME</w:t>
      </w:r>
    </w:p>
    <w:p>
      <w:pPr/>
      <w:r>
        <w:rPr>
          <w:b/>
        </w:rPr>
        <w:t>Date de la situation professionnelle : 30 septembre 2026</w:t>
      </w:r>
    </w:p>
    <w:p>
      <w:pPr>
        <w:jc w:val="left"/>
      </w:pPr>
      <w:r>
        <w:rPr>
          <w:rFonts w:ascii="Arial" w:hAnsi="Arial"/>
          <w:i/>
          <w:color w:val="505050"/>
          <w:sz w:val="17"/>
        </w:rPr>
        <w:t>Version 1.2 — référentiel explicité, organisation collaborative et traçabilité des contributions</w:t>
      </w:r>
    </w:p>
    <w:tbl>
      <w:tblPr>
        <w:tblW w:type="auto" w:w="0"/>
        <w:jc w:val="center"/>
        <w:tblLayout w:type="autofit"/>
        <w:tblLook w:firstColumn="1" w:firstRow="1" w:lastColumn="0" w:lastRow="0" w:noHBand="0" w:noVBand="1" w:val="04A0"/>
      </w:tblPr>
      <w:tblGrid>
        <w:gridCol w:w="10312"/>
      </w:tblGrid>
      <w:tr>
        <w:trPr>
          <w:cantSplit/>
        </w:trPr>
        <w:tc>
          <w:tcPr>
            <w:tcW w:type="dxa" w:w="10312"/>
            <w:shd w:fill="FFF3CD"/>
          </w:tcPr>
          <w:p>
            <w:r>
              <w:t>Cadre du cas — Vous travaillez sur une simulation pédagogique construite à partir de l’entreprise support 1083. Les faits publics utilisés pour caractériser l’entreprise sont sourcés. Toutes les données internes du cas (salariés, incidents, clients, créances, architecture informatique, fournisseurs pédagogiques, retours qualité) sont fictives et créées exclusivement pour le TP ; elles ne doivent jamais être présentées comme des informations réelles sur l’entreprise.</w:t>
            </w:r>
          </w:p>
        </w:tc>
      </w:tr>
    </w:tbl>
    <w:p>
      <w:pPr>
        <w:pStyle w:val="Heading1"/>
      </w:pPr>
      <w:r>
        <w:t>Positionnement dans le référentiel</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3437"/>
            <w:vAlign w:val="center"/>
            <w:shd w:fill="0F4C5C"/>
          </w:tcPr>
          <w:p>
            <w:r/>
            <w:r>
              <w:rPr>
                <w:rFonts w:ascii="Arial" w:hAnsi="Arial"/>
                <w:b/>
                <w:color w:val="FFFFFF"/>
                <w:sz w:val="17"/>
              </w:rPr>
              <w:t>Activité</w:t>
            </w:r>
          </w:p>
        </w:tc>
        <w:tc>
          <w:tcPr>
            <w:tcW w:type="dxa" w:w="3437"/>
            <w:vAlign w:val="center"/>
            <w:shd w:fill="0F4C5C"/>
          </w:tcPr>
          <w:p>
            <w:r/>
            <w:r>
              <w:rPr>
                <w:rFonts w:ascii="Arial" w:hAnsi="Arial"/>
                <w:b/>
                <w:color w:val="FFFFFF"/>
                <w:sz w:val="17"/>
              </w:rPr>
              <w:t>Compétence / finalité travaillée</w:t>
            </w:r>
          </w:p>
        </w:tc>
        <w:tc>
          <w:tcPr>
            <w:tcW w:type="dxa" w:w="3437"/>
            <w:vAlign w:val="center"/>
            <w:shd w:fill="0F4C5C"/>
          </w:tcPr>
          <w:p>
            <w:r/>
            <w:r>
              <w:rPr>
                <w:rFonts w:ascii="Arial" w:hAnsi="Arial"/>
                <w:b/>
                <w:color w:val="FFFFFF"/>
                <w:sz w:val="17"/>
              </w:rPr>
              <w:t>Présence dans le TP</w:t>
            </w:r>
          </w:p>
        </w:tc>
      </w:tr>
      <w:tr>
        <w:trPr>
          <w:cantSplit/>
        </w:trPr>
        <w:tc>
          <w:tcPr>
            <w:tcW w:type="dxa" w:w="3437"/>
            <w:vAlign w:val="center"/>
          </w:tcPr>
          <w:p>
            <w:r/>
            <w:r>
              <w:rPr>
                <w:rFonts w:ascii="Arial" w:hAnsi="Arial"/>
                <w:b w:val="0"/>
                <w:sz w:val="17"/>
              </w:rPr>
              <w:t>2.1 Conduite d’une veille</w:t>
            </w:r>
          </w:p>
        </w:tc>
        <w:tc>
          <w:tcPr>
            <w:tcW w:type="dxa" w:w="3437"/>
            <w:vAlign w:val="center"/>
          </w:tcPr>
          <w:p>
            <w:r/>
            <w:r>
              <w:rPr>
                <w:rFonts w:ascii="Arial" w:hAnsi="Arial"/>
                <w:b w:val="0"/>
                <w:sz w:val="17"/>
              </w:rPr>
              <w:t>Rechercher, qualifier, alerter, synthétiser et mettre à jour</w:t>
            </w:r>
          </w:p>
        </w:tc>
        <w:tc>
          <w:tcPr>
            <w:tcW w:type="dxa" w:w="3437"/>
            <w:vAlign w:val="center"/>
          </w:tcPr>
          <w:p>
            <w:r/>
            <w:r>
              <w:rPr>
                <w:rFonts w:ascii="Arial" w:hAnsi="Arial"/>
                <w:b w:val="0"/>
                <w:sz w:val="17"/>
              </w:rPr>
              <w:t>Situations 1, 2, 3, 5</w:t>
            </w:r>
          </w:p>
        </w:tc>
      </w:tr>
      <w:tr>
        <w:trPr>
          <w:cantSplit/>
        </w:trPr>
        <w:tc>
          <w:tcPr>
            <w:tcW w:type="dxa" w:w="3437"/>
            <w:vAlign w:val="center"/>
            <w:shd w:fill="EEF7F8"/>
          </w:tcPr>
          <w:p>
            <w:r/>
            <w:r>
              <w:rPr>
                <w:rFonts w:ascii="Arial" w:hAnsi="Arial"/>
                <w:b w:val="0"/>
                <w:sz w:val="17"/>
              </w:rPr>
              <w:t>2.2 Travail en mode projet</w:t>
            </w:r>
          </w:p>
        </w:tc>
        <w:tc>
          <w:tcPr>
            <w:tcW w:type="dxa" w:w="3437"/>
            <w:vAlign w:val="center"/>
            <w:shd w:fill="EEF7F8"/>
          </w:tcPr>
          <w:p>
            <w:r/>
            <w:r>
              <w:rPr>
                <w:rFonts w:ascii="Arial" w:hAnsi="Arial"/>
                <w:b w:val="0"/>
                <w:sz w:val="17"/>
              </w:rPr>
              <w:t>Analyser le besoin, planifier, coordonner et suivre</w:t>
            </w:r>
          </w:p>
        </w:tc>
        <w:tc>
          <w:tcPr>
            <w:tcW w:type="dxa" w:w="3437"/>
            <w:vAlign w:val="center"/>
            <w:shd w:fill="EEF7F8"/>
          </w:tcPr>
          <w:p>
            <w:r/>
            <w:r>
              <w:rPr>
                <w:rFonts w:ascii="Arial" w:hAnsi="Arial"/>
                <w:b w:val="0"/>
                <w:sz w:val="17"/>
              </w:rPr>
              <w:t>Situations 5 et 6</w:t>
            </w:r>
          </w:p>
        </w:tc>
      </w:tr>
      <w:tr>
        <w:trPr>
          <w:cantSplit/>
        </w:trPr>
        <w:tc>
          <w:tcPr>
            <w:tcW w:type="dxa" w:w="3437"/>
            <w:vAlign w:val="center"/>
          </w:tcPr>
          <w:p>
            <w:r/>
            <w:r>
              <w:rPr>
                <w:rFonts w:ascii="Arial" w:hAnsi="Arial"/>
                <w:b w:val="0"/>
                <w:sz w:val="17"/>
              </w:rPr>
              <w:t>2.3 Démarche de gestion des risques</w:t>
            </w:r>
          </w:p>
        </w:tc>
        <w:tc>
          <w:tcPr>
            <w:tcW w:type="dxa" w:w="3437"/>
            <w:vAlign w:val="center"/>
          </w:tcPr>
          <w:p>
            <w:r/>
            <w:r>
              <w:rPr>
                <w:rFonts w:ascii="Arial" w:hAnsi="Arial"/>
                <w:b w:val="0"/>
                <w:sz w:val="17"/>
              </w:rPr>
              <w:t>Identifier, évaluer, alerter, proposer et suivre des actions</w:t>
            </w:r>
          </w:p>
        </w:tc>
        <w:tc>
          <w:tcPr>
            <w:tcW w:type="dxa" w:w="3437"/>
            <w:vAlign w:val="center"/>
          </w:tcPr>
          <w:p>
            <w:r/>
            <w:r>
              <w:rPr>
                <w:rFonts w:ascii="Arial" w:hAnsi="Arial"/>
                <w:b w:val="0"/>
                <w:sz w:val="17"/>
              </w:rPr>
              <w:t>Toutes les situations</w:t>
            </w:r>
          </w:p>
        </w:tc>
      </w:tr>
      <w:tr>
        <w:trPr>
          <w:cantSplit/>
        </w:trPr>
        <w:tc>
          <w:tcPr>
            <w:tcW w:type="dxa" w:w="3437"/>
            <w:vAlign w:val="center"/>
            <w:shd w:fill="EEF7F8"/>
          </w:tcPr>
          <w:p>
            <w:r/>
            <w:r>
              <w:rPr>
                <w:rFonts w:ascii="Arial" w:hAnsi="Arial"/>
                <w:b w:val="0"/>
                <w:sz w:val="17"/>
              </w:rPr>
              <w:t>2.4 Risques financiers</w:t>
            </w:r>
          </w:p>
        </w:tc>
        <w:tc>
          <w:tcPr>
            <w:tcW w:type="dxa" w:w="3437"/>
            <w:vAlign w:val="center"/>
            <w:shd w:fill="EEF7F8"/>
          </w:tcPr>
          <w:p>
            <w:r/>
            <w:r>
              <w:rPr>
                <w:rFonts w:ascii="Arial" w:hAnsi="Arial"/>
                <w:b w:val="0"/>
                <w:sz w:val="17"/>
              </w:rPr>
              <w:t>Suivre trésorerie et risque client, proposer des solutions</w:t>
            </w:r>
          </w:p>
        </w:tc>
        <w:tc>
          <w:tcPr>
            <w:tcW w:type="dxa" w:w="3437"/>
            <w:vAlign w:val="center"/>
            <w:shd w:fill="EEF7F8"/>
          </w:tcPr>
          <w:p>
            <w:r/>
            <w:r>
              <w:rPr>
                <w:rFonts w:ascii="Arial" w:hAnsi="Arial"/>
                <w:b w:val="0"/>
                <w:sz w:val="17"/>
              </w:rPr>
              <w:t>Situation 4</w:t>
            </w:r>
          </w:p>
        </w:tc>
      </w:tr>
      <w:tr>
        <w:trPr>
          <w:cantSplit/>
        </w:trPr>
        <w:tc>
          <w:tcPr>
            <w:tcW w:type="dxa" w:w="3437"/>
            <w:vAlign w:val="center"/>
          </w:tcPr>
          <w:p>
            <w:r/>
            <w:r>
              <w:rPr>
                <w:rFonts w:ascii="Arial" w:hAnsi="Arial"/>
                <w:b w:val="0"/>
                <w:sz w:val="17"/>
              </w:rPr>
              <w:t>2.5 Risques non financiers</w:t>
            </w:r>
          </w:p>
        </w:tc>
        <w:tc>
          <w:tcPr>
            <w:tcW w:type="dxa" w:w="3437"/>
            <w:vAlign w:val="center"/>
          </w:tcPr>
          <w:p>
            <w:r/>
            <w:r>
              <w:rPr>
                <w:rFonts w:ascii="Arial" w:hAnsi="Arial"/>
                <w:b w:val="0"/>
                <w:sz w:val="17"/>
              </w:rPr>
              <w:t>SST, biens/droits, environnement, informatique/données</w:t>
            </w:r>
          </w:p>
        </w:tc>
        <w:tc>
          <w:tcPr>
            <w:tcW w:type="dxa" w:w="3437"/>
            <w:vAlign w:val="center"/>
          </w:tcPr>
          <w:p>
            <w:r/>
            <w:r>
              <w:rPr>
                <w:rFonts w:ascii="Arial" w:hAnsi="Arial"/>
                <w:b w:val="0"/>
                <w:sz w:val="17"/>
              </w:rPr>
              <w:t>Situations 2, 3 et 5</w:t>
            </w:r>
          </w:p>
        </w:tc>
      </w:tr>
      <w:tr>
        <w:trPr>
          <w:cantSplit/>
        </w:trPr>
        <w:tc>
          <w:tcPr>
            <w:tcW w:type="dxa" w:w="3437"/>
            <w:vAlign w:val="center"/>
            <w:shd w:fill="EEF7F8"/>
          </w:tcPr>
          <w:p>
            <w:r/>
            <w:r>
              <w:rPr>
                <w:rFonts w:ascii="Arial" w:hAnsi="Arial"/>
                <w:b w:val="0"/>
                <w:sz w:val="17"/>
              </w:rPr>
              <w:t>2.6 Démarche qualité</w:t>
            </w:r>
          </w:p>
        </w:tc>
        <w:tc>
          <w:tcPr>
            <w:tcW w:type="dxa" w:w="3437"/>
            <w:vAlign w:val="center"/>
            <w:shd w:fill="EEF7F8"/>
          </w:tcPr>
          <w:p>
            <w:r/>
            <w:r>
              <w:rPr>
                <w:rFonts w:ascii="Arial" w:hAnsi="Arial"/>
                <w:b w:val="0"/>
                <w:sz w:val="17"/>
              </w:rPr>
              <w:t>Analyser l’existant, formaliser/améliorer et capitaliser</w:t>
            </w:r>
          </w:p>
        </w:tc>
        <w:tc>
          <w:tcPr>
            <w:tcW w:type="dxa" w:w="3437"/>
            <w:vAlign w:val="center"/>
            <w:shd w:fill="EEF7F8"/>
          </w:tcPr>
          <w:p>
            <w:r/>
            <w:r>
              <w:rPr>
                <w:rFonts w:ascii="Arial" w:hAnsi="Arial"/>
                <w:b w:val="0"/>
                <w:sz w:val="17"/>
              </w:rPr>
              <w:t>Situation 6</w:t>
            </w:r>
          </w:p>
        </w:tc>
      </w:tr>
    </w:tbl>
    <w:p>
      <w:pPr>
        <w:keepNext/>
        <w:spacing w:before="40" w:after="100"/>
      </w:pPr>
      <w:r>
        <w:rPr>
          <w:rFonts w:ascii="Arial" w:hAnsi="Arial"/>
          <w:i/>
          <w:color w:val="505050"/>
          <w:sz w:val="17"/>
        </w:rPr>
        <w:t>Lecture des codes — Les repères #T correspondent aux tâches du référentiel officiel ; les repères #S aux savoirs associés. Les lignes placées au début de chaque situation signalent les principaux éléments réellement mobilisés, sans remplacer la lecture de la situation professionnelle.</w:t>
      </w:r>
    </w:p>
    <w:p>
      <w:pPr>
        <w:pStyle w:val="Heading1"/>
        <w:pageBreakBefore/>
      </w:pPr>
      <w:r>
        <w:t>Ressources numérisées</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3437"/>
            <w:vAlign w:val="center"/>
            <w:shd w:fill="0F4C5C"/>
          </w:tcPr>
          <w:p>
            <w:r/>
            <w:r>
              <w:rPr>
                <w:rFonts w:ascii="Arial" w:hAnsi="Arial"/>
                <w:b/>
                <w:color w:val="FFFFFF"/>
                <w:sz w:val="17"/>
              </w:rPr>
              <w:t>Code</w:t>
            </w:r>
          </w:p>
        </w:tc>
        <w:tc>
          <w:tcPr>
            <w:tcW w:type="dxa" w:w="3437"/>
            <w:vAlign w:val="center"/>
            <w:shd w:fill="0F4C5C"/>
          </w:tcPr>
          <w:p>
            <w:r/>
            <w:r>
              <w:rPr>
                <w:rFonts w:ascii="Arial" w:hAnsi="Arial"/>
                <w:b/>
                <w:color w:val="FFFFFF"/>
                <w:sz w:val="17"/>
              </w:rPr>
              <w:t>Ressource</w:t>
            </w:r>
          </w:p>
        </w:tc>
        <w:tc>
          <w:tcPr>
            <w:tcW w:type="dxa" w:w="3437"/>
            <w:vAlign w:val="center"/>
            <w:shd w:fill="0F4C5C"/>
          </w:tcPr>
          <w:p>
            <w:r/>
            <w:r>
              <w:rPr>
                <w:rFonts w:ascii="Arial" w:hAnsi="Arial"/>
                <w:b/>
                <w:color w:val="FFFFFF"/>
                <w:sz w:val="17"/>
              </w:rPr>
              <w:t>Utilisation principale</w:t>
            </w:r>
          </w:p>
        </w:tc>
      </w:tr>
      <w:tr>
        <w:trPr>
          <w:cantSplit/>
        </w:trPr>
        <w:tc>
          <w:tcPr>
            <w:tcW w:type="dxa" w:w="3437"/>
            <w:vAlign w:val="center"/>
          </w:tcPr>
          <w:p>
            <w:r/>
            <w:r>
              <w:rPr>
                <w:rFonts w:ascii="Arial" w:hAnsi="Arial"/>
                <w:b w:val="0"/>
                <w:sz w:val="17"/>
              </w:rPr>
              <w:t>R01</w:t>
            </w:r>
          </w:p>
        </w:tc>
        <w:tc>
          <w:tcPr>
            <w:tcW w:type="dxa" w:w="3437"/>
            <w:vAlign w:val="center"/>
          </w:tcPr>
          <w:p>
            <w:r/>
            <w:r>
              <w:rPr>
                <w:rFonts w:ascii="Arial" w:hAnsi="Arial"/>
                <w:b w:val="0"/>
                <w:sz w:val="17"/>
              </w:rPr>
              <w:t>Contexte public de l’entreprise 1083 (.docx)</w:t>
            </w:r>
          </w:p>
        </w:tc>
        <w:tc>
          <w:tcPr>
            <w:tcW w:type="dxa" w:w="3437"/>
            <w:vAlign w:val="center"/>
          </w:tcPr>
          <w:p>
            <w:r/>
            <w:r>
              <w:rPr>
                <w:rFonts w:ascii="Arial" w:hAnsi="Arial"/>
                <w:b w:val="0"/>
                <w:sz w:val="17"/>
              </w:rPr>
              <w:t>Entreprise, chaîne de valeur, faits publics</w:t>
            </w:r>
          </w:p>
        </w:tc>
      </w:tr>
      <w:tr>
        <w:trPr>
          <w:cantSplit/>
        </w:trPr>
        <w:tc>
          <w:tcPr>
            <w:tcW w:type="dxa" w:w="3437"/>
            <w:vAlign w:val="center"/>
            <w:shd w:fill="EEF7F8"/>
          </w:tcPr>
          <w:p>
            <w:r/>
            <w:r>
              <w:rPr>
                <w:rFonts w:ascii="Arial" w:hAnsi="Arial"/>
                <w:b w:val="0"/>
                <w:sz w:val="17"/>
              </w:rPr>
              <w:t>R02</w:t>
            </w:r>
          </w:p>
        </w:tc>
        <w:tc>
          <w:tcPr>
            <w:tcW w:type="dxa" w:w="3437"/>
            <w:vAlign w:val="center"/>
            <w:shd w:fill="EEF7F8"/>
          </w:tcPr>
          <w:p>
            <w:r/>
            <w:r>
              <w:rPr>
                <w:rFonts w:ascii="Arial" w:hAnsi="Arial"/>
                <w:b w:val="0"/>
                <w:sz w:val="17"/>
              </w:rPr>
              <w:t>Incidents SST et grille DUERP (.xlsx)</w:t>
            </w:r>
          </w:p>
        </w:tc>
        <w:tc>
          <w:tcPr>
            <w:tcW w:type="dxa" w:w="3437"/>
            <w:vAlign w:val="center"/>
            <w:shd w:fill="EEF7F8"/>
          </w:tcPr>
          <w:p>
            <w:r/>
            <w:r>
              <w:rPr>
                <w:rFonts w:ascii="Arial" w:hAnsi="Arial"/>
                <w:b w:val="0"/>
                <w:sz w:val="17"/>
              </w:rPr>
              <w:t>Santé-sécurité, nettoyage des données, cotation</w:t>
            </w:r>
          </w:p>
        </w:tc>
      </w:tr>
      <w:tr>
        <w:trPr>
          <w:cantSplit/>
        </w:trPr>
        <w:tc>
          <w:tcPr>
            <w:tcW w:type="dxa" w:w="3437"/>
            <w:vAlign w:val="center"/>
          </w:tcPr>
          <w:p>
            <w:r/>
            <w:r>
              <w:rPr>
                <w:rFonts w:ascii="Arial" w:hAnsi="Arial"/>
                <w:b w:val="0"/>
                <w:sz w:val="17"/>
              </w:rPr>
              <w:t>R03</w:t>
            </w:r>
          </w:p>
        </w:tc>
        <w:tc>
          <w:tcPr>
            <w:tcW w:type="dxa" w:w="3437"/>
            <w:vAlign w:val="center"/>
          </w:tcPr>
          <w:p>
            <w:r/>
            <w:r>
              <w:rPr>
                <w:rFonts w:ascii="Arial" w:hAnsi="Arial"/>
                <w:b w:val="0"/>
                <w:sz w:val="17"/>
              </w:rPr>
              <w:t>Extrait DUERP et prévention (.docx)</w:t>
            </w:r>
          </w:p>
        </w:tc>
        <w:tc>
          <w:tcPr>
            <w:tcW w:type="dxa" w:w="3437"/>
            <w:vAlign w:val="center"/>
          </w:tcPr>
          <w:p>
            <w:r/>
            <w:r>
              <w:rPr>
                <w:rFonts w:ascii="Arial" w:hAnsi="Arial"/>
                <w:b w:val="0"/>
                <w:sz w:val="17"/>
              </w:rPr>
              <w:t>Réévaluation des risques professionnels</w:t>
            </w:r>
          </w:p>
        </w:tc>
      </w:tr>
      <w:tr>
        <w:trPr>
          <w:cantSplit/>
        </w:trPr>
        <w:tc>
          <w:tcPr>
            <w:tcW w:type="dxa" w:w="3437"/>
            <w:vAlign w:val="center"/>
            <w:shd w:fill="EEF7F8"/>
          </w:tcPr>
          <w:p>
            <w:r/>
            <w:r>
              <w:rPr>
                <w:rFonts w:ascii="Arial" w:hAnsi="Arial"/>
                <w:b w:val="0"/>
                <w:sz w:val="17"/>
              </w:rPr>
              <w:t>R04</w:t>
            </w:r>
          </w:p>
        </w:tc>
        <w:tc>
          <w:tcPr>
            <w:tcW w:type="dxa" w:w="3437"/>
            <w:vAlign w:val="center"/>
            <w:shd w:fill="EEF7F8"/>
          </w:tcPr>
          <w:p>
            <w:r/>
            <w:r>
              <w:rPr>
                <w:rFonts w:ascii="Arial" w:hAnsi="Arial"/>
                <w:b w:val="0"/>
                <w:sz w:val="17"/>
              </w:rPr>
              <w:t>Dossier incident cyber/RGPD (.docx)</w:t>
            </w:r>
          </w:p>
        </w:tc>
        <w:tc>
          <w:tcPr>
            <w:tcW w:type="dxa" w:w="3437"/>
            <w:vAlign w:val="center"/>
            <w:shd w:fill="EEF7F8"/>
          </w:tcPr>
          <w:p>
            <w:r/>
            <w:r>
              <w:rPr>
                <w:rFonts w:ascii="Arial" w:hAnsi="Arial"/>
                <w:b w:val="0"/>
                <w:sz w:val="17"/>
              </w:rPr>
              <w:t>Qualification de l’incident et obligations</w:t>
            </w:r>
          </w:p>
        </w:tc>
      </w:tr>
      <w:tr>
        <w:trPr>
          <w:cantSplit/>
        </w:trPr>
        <w:tc>
          <w:tcPr>
            <w:tcW w:type="dxa" w:w="3437"/>
            <w:vAlign w:val="center"/>
          </w:tcPr>
          <w:p>
            <w:r/>
            <w:r>
              <w:rPr>
                <w:rFonts w:ascii="Arial" w:hAnsi="Arial"/>
                <w:b w:val="0"/>
                <w:sz w:val="17"/>
              </w:rPr>
              <w:t>R05</w:t>
            </w:r>
          </w:p>
        </w:tc>
        <w:tc>
          <w:tcPr>
            <w:tcW w:type="dxa" w:w="3437"/>
            <w:vAlign w:val="center"/>
          </w:tcPr>
          <w:p>
            <w:r/>
            <w:r>
              <w:rPr>
                <w:rFonts w:ascii="Arial" w:hAnsi="Arial"/>
                <w:b w:val="0"/>
                <w:sz w:val="17"/>
              </w:rPr>
              <w:t>Cyber/RGPD (.xlsx)</w:t>
            </w:r>
          </w:p>
        </w:tc>
        <w:tc>
          <w:tcPr>
            <w:tcW w:type="dxa" w:w="3437"/>
            <w:vAlign w:val="center"/>
          </w:tcPr>
          <w:p>
            <w:r/>
            <w:r>
              <w:rPr>
                <w:rFonts w:ascii="Arial" w:hAnsi="Arial"/>
                <w:b w:val="0"/>
                <w:sz w:val="17"/>
              </w:rPr>
              <w:t>Applications, chronologie, traitements de données</w:t>
            </w:r>
          </w:p>
        </w:tc>
      </w:tr>
      <w:tr>
        <w:trPr>
          <w:cantSplit/>
        </w:trPr>
        <w:tc>
          <w:tcPr>
            <w:tcW w:type="dxa" w:w="3437"/>
            <w:vAlign w:val="center"/>
            <w:shd w:fill="EEF7F8"/>
          </w:tcPr>
          <w:p>
            <w:r/>
            <w:r>
              <w:rPr>
                <w:rFonts w:ascii="Arial" w:hAnsi="Arial"/>
                <w:b w:val="0"/>
                <w:sz w:val="17"/>
              </w:rPr>
              <w:t>R06</w:t>
            </w:r>
          </w:p>
        </w:tc>
        <w:tc>
          <w:tcPr>
            <w:tcW w:type="dxa" w:w="3437"/>
            <w:vAlign w:val="center"/>
            <w:shd w:fill="EEF7F8"/>
          </w:tcPr>
          <w:p>
            <w:r/>
            <w:r>
              <w:rPr>
                <w:rFonts w:ascii="Arial" w:hAnsi="Arial"/>
                <w:b w:val="0"/>
                <w:sz w:val="17"/>
              </w:rPr>
              <w:t>Risque clients et trésorerie (.xlsx)</w:t>
            </w:r>
          </w:p>
        </w:tc>
        <w:tc>
          <w:tcPr>
            <w:tcW w:type="dxa" w:w="3437"/>
            <w:vAlign w:val="center"/>
            <w:shd w:fill="EEF7F8"/>
          </w:tcPr>
          <w:p>
            <w:r/>
            <w:r>
              <w:rPr>
                <w:rFonts w:ascii="Arial" w:hAnsi="Arial"/>
                <w:b w:val="0"/>
                <w:sz w:val="17"/>
              </w:rPr>
              <w:t>Créances, scénarios de trésorerie, solutions</w:t>
            </w:r>
          </w:p>
        </w:tc>
      </w:tr>
      <w:tr>
        <w:trPr>
          <w:cantSplit/>
        </w:trPr>
        <w:tc>
          <w:tcPr>
            <w:tcW w:type="dxa" w:w="3437"/>
            <w:vAlign w:val="center"/>
          </w:tcPr>
          <w:p>
            <w:r/>
            <w:r>
              <w:rPr>
                <w:rFonts w:ascii="Arial" w:hAnsi="Arial"/>
                <w:b w:val="0"/>
                <w:sz w:val="17"/>
              </w:rPr>
              <w:t>R07</w:t>
            </w:r>
          </w:p>
        </w:tc>
        <w:tc>
          <w:tcPr>
            <w:tcW w:type="dxa" w:w="3437"/>
            <w:vAlign w:val="center"/>
          </w:tcPr>
          <w:p>
            <w:r/>
            <w:r>
              <w:rPr>
                <w:rFonts w:ascii="Arial" w:hAnsi="Arial"/>
                <w:b w:val="0"/>
                <w:sz w:val="17"/>
              </w:rPr>
              <w:t>Brief continuité/qualité (.docx)</w:t>
            </w:r>
          </w:p>
        </w:tc>
        <w:tc>
          <w:tcPr>
            <w:tcW w:type="dxa" w:w="3437"/>
            <w:vAlign w:val="center"/>
          </w:tcPr>
          <w:p>
            <w:r/>
            <w:r>
              <w:rPr>
                <w:rFonts w:ascii="Arial" w:hAnsi="Arial"/>
                <w:b w:val="0"/>
                <w:sz w:val="17"/>
              </w:rPr>
              <w:t>Projet et contraintes</w:t>
            </w:r>
          </w:p>
        </w:tc>
      </w:tr>
      <w:tr>
        <w:trPr>
          <w:cantSplit/>
        </w:trPr>
        <w:tc>
          <w:tcPr>
            <w:tcW w:type="dxa" w:w="3437"/>
            <w:vAlign w:val="center"/>
            <w:shd w:fill="EEF7F8"/>
          </w:tcPr>
          <w:p>
            <w:r/>
            <w:r>
              <w:rPr>
                <w:rFonts w:ascii="Arial" w:hAnsi="Arial"/>
                <w:b w:val="0"/>
                <w:sz w:val="17"/>
              </w:rPr>
              <w:t>R08</w:t>
            </w:r>
          </w:p>
        </w:tc>
        <w:tc>
          <w:tcPr>
            <w:tcW w:type="dxa" w:w="3437"/>
            <w:vAlign w:val="center"/>
            <w:shd w:fill="EEF7F8"/>
          </w:tcPr>
          <w:p>
            <w:r/>
            <w:r>
              <w:rPr>
                <w:rFonts w:ascii="Arial" w:hAnsi="Arial"/>
                <w:b w:val="0"/>
                <w:sz w:val="17"/>
              </w:rPr>
              <w:t>Qualité, fournisseurs et projet (.xlsx)</w:t>
            </w:r>
          </w:p>
        </w:tc>
        <w:tc>
          <w:tcPr>
            <w:tcW w:type="dxa" w:w="3437"/>
            <w:vAlign w:val="center"/>
            <w:shd w:fill="EEF7F8"/>
          </w:tcPr>
          <w:p>
            <w:r/>
            <w:r>
              <w:rPr>
                <w:rFonts w:ascii="Arial" w:hAnsi="Arial"/>
                <w:b w:val="0"/>
                <w:sz w:val="17"/>
              </w:rPr>
              <w:t>Pareto, criticité fournisseurs, planification</w:t>
            </w:r>
          </w:p>
        </w:tc>
      </w:tr>
      <w:tr>
        <w:trPr>
          <w:cantSplit/>
        </w:trPr>
        <w:tc>
          <w:tcPr>
            <w:tcW w:type="dxa" w:w="3437"/>
            <w:vAlign w:val="center"/>
          </w:tcPr>
          <w:p>
            <w:r/>
            <w:r>
              <w:rPr>
                <w:rFonts w:ascii="Arial" w:hAnsi="Arial"/>
                <w:b w:val="0"/>
                <w:sz w:val="17"/>
              </w:rPr>
              <w:t>R09</w:t>
            </w:r>
          </w:p>
        </w:tc>
        <w:tc>
          <w:tcPr>
            <w:tcW w:type="dxa" w:w="3437"/>
            <w:vAlign w:val="center"/>
          </w:tcPr>
          <w:p>
            <w:r>
              <w:t>Sources institutionnelles, primaires et de référence (.docx)</w:t>
            </w:r>
          </w:p>
        </w:tc>
        <w:tc>
          <w:tcPr>
            <w:tcW w:type="dxa" w:w="3437"/>
            <w:vAlign w:val="center"/>
          </w:tcPr>
          <w:p>
            <w:r>
              <w:t>Droit, environnement, cybersécurité, certification ; qualification de la nature des sources</w:t>
            </w:r>
          </w:p>
        </w:tc>
      </w:tr>
    </w:tbl>
    <w:tbl>
      <w:tblPr>
        <w:tblW w:type="auto" w:w="0"/>
        <w:jc w:val="center"/>
        <w:tblLayout w:type="autofit"/>
        <w:tblLook w:firstColumn="1" w:firstRow="1" w:lastColumn="0" w:lastRow="0" w:noHBand="0" w:noVBand="1" w:val="04A0"/>
      </w:tblPr>
      <w:tblGrid>
        <w:gridCol w:w="10312"/>
      </w:tblGrid>
      <w:tr>
        <w:trPr>
          <w:cantSplit/>
        </w:trPr>
        <w:tc>
          <w:tcPr>
            <w:tcW w:type="dxa" w:w="10312"/>
            <w:shd w:fill="E7F3E8"/>
          </w:tcPr>
          <w:p>
            <w:r>
              <w:t>Organisation — Fil rouge modulable : durée indicative 15 à 18 h. Chaque situation peut donner lieu à un rendu et une correction intermédiaire.</w:t>
            </w:r>
          </w:p>
        </w:tc>
      </w:tr>
    </w:tbl>
    <w:p>
      <w:r>
        <w:br w:type="page"/>
      </w:r>
    </w:p>
    <w:p>
      <w:pPr>
        <w:pStyle w:val="Heading1"/>
      </w:pPr>
      <w:r>
        <w:t>Organisation professionnelle du travail en équipe</w:t>
      </w:r>
    </w:p>
    <w:p>
      <w:pPr>
        <w:spacing w:after="120"/>
      </w:pPr>
      <w:r>
        <w:t>Le TP peut être réalisé en équipe. L’objectif est de reproduire un fonctionnement professionnel : répartition du travail, coordination, contrôle croisé, respect des échéances et contribution identifiable de chacun. L’enseignant reste responsable de la constitution des groupes et des arbitrages.</w:t>
      </w:r>
    </w:p>
    <w:tbl>
      <w:tblPr>
        <w:tblStyle w:val="TableGrid"/>
        <w:tblW w:type="auto" w:w="0"/>
        <w:tblLayout w:type="fixed"/>
        <w:tblLook w:firstColumn="1" w:firstRow="1" w:lastColumn="0" w:lastRow="0" w:noHBand="0" w:noVBand="1" w:val="04A0"/>
      </w:tblPr>
      <w:tblGrid>
        <w:gridCol w:w="5156"/>
        <w:gridCol w:w="5156"/>
      </w:tblGrid>
      <w:tr>
        <w:trPr>
          <w:tblHeader w:val="true"/>
          <w:cantSplit/>
        </w:trPr>
        <w:tc>
          <w:tcPr>
            <w:tcW w:type="dxa" w:w="2381"/>
            <w:vAlign w:val="center"/>
            <w:tcMar>
              <w:top w:w="80" w:type="dxa"/>
              <w:start w:w="90" w:type="dxa"/>
              <w:bottom w:w="80" w:type="dxa"/>
              <w:end w:w="90" w:type="dxa"/>
            </w:tcMar>
            <w:shd w:fill="0F4C5C"/>
          </w:tcPr>
          <w:p>
            <w:pPr>
              <w:spacing w:after="0"/>
            </w:pPr>
            <w:r>
              <w:rPr>
                <w:rFonts w:ascii="Arial" w:hAnsi="Arial"/>
                <w:b/>
                <w:color w:val="FFFFFF"/>
                <w:sz w:val="17"/>
              </w:rPr>
              <w:t>Principe</w:t>
            </w:r>
          </w:p>
        </w:tc>
        <w:tc>
          <w:tcPr>
            <w:tcW w:type="dxa" w:w="7143"/>
            <w:vAlign w:val="center"/>
            <w:tcMar>
              <w:top w:w="80" w:type="dxa"/>
              <w:start w:w="90" w:type="dxa"/>
              <w:bottom w:w="80" w:type="dxa"/>
              <w:end w:w="90" w:type="dxa"/>
            </w:tcMar>
            <w:shd w:fill="0F4C5C"/>
          </w:tcPr>
          <w:p>
            <w:pPr>
              <w:spacing w:after="0"/>
            </w:pPr>
            <w:r>
              <w:rPr>
                <w:rFonts w:ascii="Arial" w:hAnsi="Arial"/>
                <w:b/>
                <w:color w:val="FFFFFF"/>
                <w:sz w:val="17"/>
              </w:rPr>
              <w:t>Règle de fonctionnement</w:t>
            </w:r>
          </w:p>
        </w:tc>
      </w:tr>
      <w:tr>
        <w:trPr>
          <w:cantSplit/>
        </w:trPr>
        <w:tc>
          <w:tcPr>
            <w:tcW w:type="dxa" w:w="2381"/>
            <w:vAlign w:val="center"/>
            <w:tcMar>
              <w:top w:w="80" w:type="dxa"/>
              <w:start w:w="90" w:type="dxa"/>
              <w:bottom w:w="80" w:type="dxa"/>
              <w:end w:w="90" w:type="dxa"/>
            </w:tcMar>
            <w:shd w:fill="F4F8F9"/>
          </w:tcPr>
          <w:p>
            <w:pPr>
              <w:spacing w:after="0"/>
            </w:pPr>
            <w:r>
              <w:rPr>
                <w:rFonts w:ascii="Arial" w:hAnsi="Arial"/>
                <w:sz w:val="17"/>
              </w:rPr>
              <w:t>Constitution des équipes</w:t>
            </w:r>
          </w:p>
        </w:tc>
        <w:tc>
          <w:tcPr>
            <w:tcW w:type="dxa" w:w="7143"/>
            <w:vAlign w:val="center"/>
            <w:tcMar>
              <w:top w:w="80" w:type="dxa"/>
              <w:start w:w="90" w:type="dxa"/>
              <w:bottom w:w="80" w:type="dxa"/>
              <w:end w:w="90" w:type="dxa"/>
            </w:tcMar>
            <w:shd w:fill="F4F8F9"/>
          </w:tcPr>
          <w:p>
            <w:pPr>
              <w:spacing w:after="0"/>
            </w:pPr>
            <w:r>
              <w:rPr>
                <w:rFonts w:ascii="Arial" w:hAnsi="Arial"/>
                <w:sz w:val="17"/>
              </w:rPr>
              <w:t>Selon l’activité, les groupes peuvent être tirés au sort ou constitués autrement par l’enseignant. Le tirage au sort permet notamment de travailler avec des personnes différentes et d’éviter l’isolement de certains étudiants.</w:t>
            </w:r>
          </w:p>
        </w:tc>
      </w:tr>
      <w:tr>
        <w:trPr>
          <w:cantSplit/>
        </w:trPr>
        <w:tc>
          <w:tcPr>
            <w:tcW w:type="dxa" w:w="2381"/>
            <w:vAlign w:val="center"/>
            <w:tcMar>
              <w:top w:w="80" w:type="dxa"/>
              <w:start w:w="90" w:type="dxa"/>
              <w:bottom w:w="80" w:type="dxa"/>
              <w:end w:w="90" w:type="dxa"/>
            </w:tcMar>
          </w:tcPr>
          <w:p>
            <w:pPr>
              <w:spacing w:after="0"/>
            </w:pPr>
            <w:r>
              <w:rPr>
                <w:rFonts w:ascii="Arial" w:hAnsi="Arial"/>
                <w:sz w:val="17"/>
              </w:rPr>
              <w:t>Espace de travail partagé</w:t>
            </w:r>
          </w:p>
        </w:tc>
        <w:tc>
          <w:tcPr>
            <w:tcW w:type="dxa" w:w="7143"/>
            <w:vAlign w:val="center"/>
            <w:tcMar>
              <w:top w:w="80" w:type="dxa"/>
              <w:start w:w="90" w:type="dxa"/>
              <w:bottom w:w="80" w:type="dxa"/>
              <w:end w:w="90" w:type="dxa"/>
            </w:tcMar>
          </w:tcPr>
          <w:p>
            <w:pPr>
              <w:spacing w:after="0"/>
            </w:pPr>
            <w:r>
              <w:rPr>
                <w:rFonts w:ascii="Arial" w:hAnsi="Arial"/>
                <w:sz w:val="17"/>
              </w:rPr>
              <w:t>Chaque équipe utilise l’espace collaboratif en ligne indiqué par l’enseignant. Les documents partagés servent à produire, coordonner et conserver une trace des contributions. Aucune installation locale n’est requise.</w:t>
            </w:r>
          </w:p>
        </w:tc>
      </w:tr>
      <w:tr>
        <w:trPr>
          <w:cantSplit/>
        </w:trPr>
        <w:tc>
          <w:tcPr>
            <w:tcW w:type="dxa" w:w="2381"/>
            <w:vAlign w:val="center"/>
            <w:tcMar>
              <w:top w:w="80" w:type="dxa"/>
              <w:start w:w="90" w:type="dxa"/>
              <w:bottom w:w="80" w:type="dxa"/>
              <w:end w:w="90" w:type="dxa"/>
            </w:tcMar>
            <w:shd w:fill="F4F8F9"/>
          </w:tcPr>
          <w:p>
            <w:pPr>
              <w:spacing w:after="0"/>
            </w:pPr>
            <w:r>
              <w:rPr>
                <w:rFonts w:ascii="Arial" w:hAnsi="Arial"/>
                <w:sz w:val="17"/>
              </w:rPr>
              <w:t>Tableau Kanban</w:t>
            </w:r>
          </w:p>
        </w:tc>
        <w:tc>
          <w:tcPr>
            <w:tcW w:type="dxa" w:w="7143"/>
            <w:vAlign w:val="center"/>
            <w:tcMar>
              <w:top w:w="80" w:type="dxa"/>
              <w:start w:w="90" w:type="dxa"/>
              <w:bottom w:w="80" w:type="dxa"/>
              <w:end w:w="90" w:type="dxa"/>
            </w:tcMar>
            <w:shd w:fill="F4F8F9"/>
          </w:tcPr>
          <w:p>
            <w:pPr>
              <w:spacing w:after="0"/>
            </w:pPr>
            <w:r>
              <w:rPr>
                <w:rFonts w:ascii="Arial" w:hAnsi="Arial"/>
                <w:sz w:val="17"/>
              </w:rPr>
              <w:t>Les tâches sont suivies dans un Kanban commun : À traiter → En cours → Bloqué → À contrôler → Validé par l’équipe → Remis. Chaque tâche importante comporte au minimum un responsable, une échéance, une preuve ou un lien vers la production et, lorsque c’est pertinent, un contrôleur.</w:t>
            </w:r>
          </w:p>
        </w:tc>
      </w:tr>
      <w:tr>
        <w:trPr>
          <w:cantSplit/>
        </w:trPr>
        <w:tc>
          <w:tcPr>
            <w:tcW w:type="dxa" w:w="2381"/>
            <w:vAlign w:val="center"/>
            <w:tcMar>
              <w:top w:w="80" w:type="dxa"/>
              <w:start w:w="90" w:type="dxa"/>
              <w:bottom w:w="80" w:type="dxa"/>
              <w:end w:w="90" w:type="dxa"/>
            </w:tcMar>
          </w:tcPr>
          <w:p>
            <w:pPr>
              <w:spacing w:after="0"/>
            </w:pPr>
            <w:r>
              <w:rPr>
                <w:rFonts w:ascii="Arial" w:hAnsi="Arial"/>
                <w:sz w:val="17"/>
              </w:rPr>
              <w:t>Responsabilité collective</w:t>
            </w:r>
          </w:p>
        </w:tc>
        <w:tc>
          <w:tcPr>
            <w:tcW w:type="dxa" w:w="7143"/>
            <w:vAlign w:val="center"/>
            <w:tcMar>
              <w:top w:w="80" w:type="dxa"/>
              <w:start w:w="90" w:type="dxa"/>
              <w:bottom w:w="80" w:type="dxa"/>
              <w:end w:w="90" w:type="dxa"/>
            </w:tcMar>
          </w:tcPr>
          <w:p>
            <w:pPr>
              <w:spacing w:after="0"/>
            </w:pPr>
            <w:r>
              <w:rPr>
                <w:rFonts w:ascii="Arial" w:hAnsi="Arial"/>
                <w:sz w:val="17"/>
              </w:rPr>
              <w:t>L’équipe est responsable du livrable remis. Une production importante doit être relue ou contrôlée par un membre qui n’en est pas le rédacteur principal. On partage la méthode et on s’entraide sans faire le travail à la place d’un autre membre.</w:t>
            </w:r>
          </w:p>
        </w:tc>
      </w:tr>
      <w:tr>
        <w:trPr>
          <w:cantSplit/>
        </w:trPr>
        <w:tc>
          <w:tcPr>
            <w:tcW w:type="dxa" w:w="2381"/>
            <w:vAlign w:val="center"/>
            <w:tcMar>
              <w:top w:w="80" w:type="dxa"/>
              <w:start w:w="90" w:type="dxa"/>
              <w:bottom w:w="80" w:type="dxa"/>
              <w:end w:w="90" w:type="dxa"/>
            </w:tcMar>
            <w:shd w:fill="F4F8F9"/>
          </w:tcPr>
          <w:p>
            <w:pPr>
              <w:spacing w:after="0"/>
            </w:pPr>
            <w:r>
              <w:rPr>
                <w:rFonts w:ascii="Arial" w:hAnsi="Arial"/>
                <w:sz w:val="17"/>
              </w:rPr>
              <w:t>Échéances et alerte</w:t>
            </w:r>
          </w:p>
        </w:tc>
        <w:tc>
          <w:tcPr>
            <w:tcW w:type="dxa" w:w="7143"/>
            <w:vAlign w:val="center"/>
            <w:tcMar>
              <w:top w:w="80" w:type="dxa"/>
              <w:start w:w="90" w:type="dxa"/>
              <w:bottom w:w="80" w:type="dxa"/>
              <w:end w:w="90" w:type="dxa"/>
            </w:tcMar>
            <w:shd w:fill="F4F8F9"/>
          </w:tcPr>
          <w:p>
            <w:r>
              <w:rPr>
                <w:rFonts w:ascii="Arial" w:hAnsi="Arial"/>
                <w:sz w:val="17"/>
              </w:rPr>
              <w:t>Les dates de remise sont fixées par l’enseignant. Dans la simulation pédagogique, un retard non autorisé est assimilé à une faute professionnelle et donne lieu aux pénalités par jour de retard annoncées par l’enseignant. Si une équipe anticipe un risque de retard, elle doit alerter avant l’échéance, expliquer la cause, les conséquences, les actions engagées et, si nécessaire, demander une nouvelle échéance. L’enseignant décide des suites à donner.</w:t>
            </w:r>
          </w:p>
        </w:tc>
      </w:tr>
      <w:tr>
        <w:trPr>
          <w:cantSplit/>
        </w:trPr>
        <w:tc>
          <w:tcPr>
            <w:tcW w:type="dxa" w:w="2381"/>
            <w:vAlign w:val="center"/>
            <w:tcMar>
              <w:top w:w="80" w:type="dxa"/>
              <w:start w:w="90" w:type="dxa"/>
              <w:bottom w:w="80" w:type="dxa"/>
              <w:end w:w="90" w:type="dxa"/>
            </w:tcMar>
          </w:tcPr>
          <w:p>
            <w:pPr>
              <w:spacing w:after="0"/>
            </w:pPr>
            <w:r>
              <w:rPr>
                <w:rFonts w:ascii="Arial" w:hAnsi="Arial"/>
                <w:sz w:val="17"/>
              </w:rPr>
              <w:t>Contribution individuelle</w:t>
            </w:r>
          </w:p>
        </w:tc>
        <w:tc>
          <w:tcPr>
            <w:tcW w:type="dxa" w:w="7143"/>
            <w:vAlign w:val="center"/>
            <w:tcMar>
              <w:top w:w="80" w:type="dxa"/>
              <w:start w:w="90" w:type="dxa"/>
              <w:bottom w:w="80" w:type="dxa"/>
              <w:end w:w="90" w:type="dxa"/>
            </w:tcMar>
          </w:tcPr>
          <w:p>
            <w:pPr>
              <w:spacing w:after="0"/>
            </w:pPr>
            <w:r>
              <w:rPr>
                <w:rFonts w:ascii="Arial" w:hAnsi="Arial"/>
                <w:sz w:val="17"/>
              </w:rPr>
              <w:t>L’appartenance au groupe suppose une contribution effective, régulière et traçable. La contribution peut être établie par les tâches du Kanban, les productions réalisées, les contrôles effectués et l’historique des documents partagés.</w:t>
            </w:r>
          </w:p>
        </w:tc>
      </w:tr>
      <w:tr>
        <w:trPr>
          <w:cantSplit/>
        </w:trPr>
        <w:tc>
          <w:tcPr>
            <w:tcW w:type="dxa" w:w="2381"/>
            <w:vAlign w:val="center"/>
            <w:tcMar>
              <w:top w:w="80" w:type="dxa"/>
              <w:start w:w="90" w:type="dxa"/>
              <w:bottom w:w="80" w:type="dxa"/>
              <w:end w:w="90" w:type="dxa"/>
            </w:tcMar>
            <w:shd w:fill="F4F8F9"/>
          </w:tcPr>
          <w:p>
            <w:pPr>
              <w:spacing w:after="0"/>
            </w:pPr>
            <w:r>
              <w:rPr>
                <w:rFonts w:ascii="Arial" w:hAnsi="Arial"/>
                <w:sz w:val="17"/>
              </w:rPr>
              <w:t>Difficulté persistante / exclusion</w:t>
            </w:r>
          </w:p>
        </w:tc>
        <w:tc>
          <w:tcPr>
            <w:tcW w:type="dxa" w:w="7143"/>
            <w:vAlign w:val="center"/>
            <w:tcMar>
              <w:top w:w="80" w:type="dxa"/>
              <w:start w:w="90" w:type="dxa"/>
              <w:bottom w:w="80" w:type="dxa"/>
              <w:end w:w="90" w:type="dxa"/>
            </w:tcMar>
            <w:shd w:fill="F4F8F9"/>
          </w:tcPr>
          <w:p>
            <w:pPr>
              <w:spacing w:after="0"/>
            </w:pPr>
            <w:r>
              <w:rPr>
                <w:rFonts w:ascii="Arial" w:hAnsi="Arial"/>
                <w:sz w:val="17"/>
              </w:rPr>
              <w:t>Le groupe peut signaler une difficulté, mais il ne peut pas exclure lui-même un membre. L’enseignant vérifie la situation, échange avec l’étudiant concerné et lui laisse la possibilité de s’amender. Si l’absence de contribution persiste et met le groupe en difficulté, l’enseignant peut décider de l’exclusion. L’étudiant devra alors trouver un groupe qui accepte de l’accueillir ou poursuivre le travail seul, selon la décision de l’enseignant.</w:t>
            </w:r>
          </w:p>
        </w:tc>
      </w:tr>
    </w:tbl>
    <w:tbl>
      <w:tblPr>
        <w:tblW w:type="auto" w:w="0"/>
        <w:tblLook w:firstColumn="1" w:firstRow="1" w:lastColumn="0" w:lastRow="0" w:noHBand="0" w:noVBand="1" w:val="04A0"/>
      </w:tblPr>
      <w:tblGrid>
        <w:gridCol w:w="10312"/>
      </w:tblGrid>
      <w:tr>
        <w:trPr>
          <w:cantSplit/>
        </w:trPr>
        <w:tc>
          <w:tcPr>
            <w:tcW w:type="dxa" w:w="10312"/>
            <w:shd w:fill="EAF2F4"/>
            <w:tcMar>
              <w:top w:w="120" w:type="dxa"/>
              <w:start w:w="140" w:type="dxa"/>
              <w:bottom w:w="120" w:type="dxa"/>
              <w:end w:w="140" w:type="dxa"/>
            </w:tcMar>
          </w:tcPr>
          <w:p>
            <w:r>
              <w:rPr>
                <w:rFonts w:ascii="Arial" w:hAnsi="Arial"/>
                <w:b/>
                <w:color w:val="0F4C5C"/>
                <w:sz w:val="18"/>
              </w:rPr>
              <w:t>Traçabilité ≠ surveillance permanente : les traces servent à objectiver la contribution au travail collectif et à faciliter la coordination. Une absence ponctuelle ne vaut pas, à elle seule, exclusion ; c’est la non-contribution persistante et vérifiée qui peut conduire à un arbitrage de l’enseignant.</w:t>
            </w:r>
          </w:p>
        </w:tc>
      </w:tr>
    </w:tbl>
    <w:p/>
    <w:p>
      <w:pPr>
        <w:pStyle w:val="Title"/>
      </w:pPr>
      <w:r>
        <w:t>Mise en situation</w:t>
      </w:r>
    </w:p>
    <w:p>
      <w:r>
        <w:rPr>
          <w:sz w:val="21"/>
        </w:rPr>
      </w:r>
      <w:r>
        <w:t>Vous travaillez sur une simulation pédagogique construite à partir de l’entreprise support 1083. Dans le scénario, vous intervenez auprès du pôle gestion afin d’aider la direction à structurer le suivi des risques sans créer une organisation trop lourde. Votre rôle n’est pas de décider à la place des responsables : vous devez fiabiliser les informations, produire des analyses, alerter lorsque nécessaire et préparer des solutions argumentées.</w:t>
      </w:r>
    </w:p>
    <w:tbl>
      <w:tblPr>
        <w:tblW w:type="auto" w:w="0"/>
        <w:jc w:val="center"/>
        <w:tblLayout w:type="autofit"/>
        <w:tblLook w:firstColumn="1" w:firstRow="1" w:lastColumn="0" w:lastRow="0" w:noHBand="0" w:noVBand="1" w:val="04A0"/>
      </w:tblPr>
      <w:tblGrid>
        <w:gridCol w:w="10312"/>
      </w:tblGrid>
      <w:tr>
        <w:trPr>
          <w:cantSplit/>
        </w:trPr>
        <w:tc>
          <w:tcPr>
            <w:tcW w:type="dxa" w:w="10312"/>
            <w:shd w:fill="E7F3E8"/>
          </w:tcPr>
          <w:p>
            <w:r>
              <w:rPr>
                <w:rFonts w:ascii="Arial" w:hAnsi="Arial"/>
                <w:sz w:val="19"/>
              </w:rPr>
            </w:r>
            <w:r>
              <w:rPr>
                <w:rFonts w:ascii="Arial" w:hAnsi="Arial"/>
                <w:b/>
                <w:sz w:val="19"/>
              </w:rPr>
              <w:t xml:space="preserve">Méthode professionnelle — </w:t>
            </w:r>
            <w:r>
              <w:rPr>
                <w:rFonts w:ascii="Arial" w:hAnsi="Arial"/>
                <w:sz w:val="19"/>
              </w:rPr>
              <w:t>Fil directeur : PIÈCE / DONNÉE → FAIT ÉTABLI → MÉTHODE → TRAITEMENT → PREUVE → ALERTE / DÉCISION. Lorsqu’une information manque, signalez-la ; n’inventez pas la donnée.</w:t>
            </w:r>
          </w:p>
        </w:tc>
      </w:tr>
    </w:tbl>
    <w:p>
      <w:pPr>
        <w:pStyle w:val="Title"/>
      </w:pPr>
      <w:r>
        <w:t>Situation 1 — Construire le diagnostic initial et la veille</w:t>
      </w:r>
    </w:p>
    <w:p>
      <w:r/>
      <w:r>
        <w:t>Avant d’étudier un risque précis, la direction vous demande une vision globale de l’entreprise, de ses processus et de son exposition. Vous disposez du contexte public (R01) et de sources institutionnelles, primaires et de référence (R09).</w:t>
      </w:r>
    </w:p>
    <w:p>
      <w:pPr>
        <w:keepNext/>
        <w:spacing w:before="40" w:after="100"/>
      </w:pPr>
      <w:r>
        <w:rPr>
          <w:rFonts w:ascii="Arial" w:hAnsi="Arial"/>
          <w:i/>
          <w:color w:val="505050"/>
          <w:sz w:val="17"/>
        </w:rPr>
        <w:t>Repères référentiel — A2.1 Conduite d’une veille + A2.3 Démarche de gestion des risques · #T.2.1.1 à #T.2.1.5 · #T.2.3.1 à #T.2.3.4 · #S 2.1.1 · #S 2.3 · #S 2.7 · #S 5.2</w:t>
      </w:r>
    </w:p>
    <w:p>
      <w:pPr>
        <w:keepNext/>
        <w:spacing w:after="60"/>
      </w:pPr>
      <w:r>
        <w:rPr>
          <w:b/>
          <w:color w:val="0F4C5C"/>
        </w:rPr>
        <w:t xml:space="preserve">1. </w:t>
      </w:r>
      <w:r>
        <w:rPr>
          <w:rFonts w:ascii="Arial" w:hAnsi="Arial"/>
          <w:sz w:val="20"/>
        </w:rPr>
        <w:t>Caractérisez l’entreprise 1083 : activité, canaux de vente, chaîne de valeur, implantations utiles au cas et principales parties prenantes. Distinguez les faits publics des données simulées.</w:t>
      </w:r>
    </w:p>
    <w:p>
      <w:pPr>
        <w:spacing w:after="100"/>
        <w:ind w:left="283"/>
      </w:pPr>
      <w:r>
        <w:rPr>
          <w:b/>
          <w:color w:val="173F45"/>
          <w:sz w:val="18"/>
        </w:rPr>
        <w:t xml:space="preserve">Production attendue : </w:t>
      </w:r>
      <w:r>
        <w:rPr>
          <w:sz w:val="18"/>
        </w:rPr>
        <w:t>Une fiche de caractérisation d’une page, avec sources.</w:t>
      </w:r>
    </w:p>
    <w:p>
      <w:pPr>
        <w:keepNext/>
        <w:spacing w:after="60"/>
      </w:pPr>
      <w:r>
        <w:rPr>
          <w:b/>
          <w:color w:val="0F4C5C"/>
        </w:rPr>
        <w:t xml:space="preserve">2. </w:t>
      </w:r>
      <w:r>
        <w:rPr>
          <w:rFonts w:ascii="Arial" w:hAnsi="Arial"/>
          <w:sz w:val="20"/>
        </w:rPr>
        <w:t>Représentez la chaîne de valeur simplifiée de la conception au SAV. Pour chaque étape, associez au moins un risque susceptible d’affecter la pérennité de la PME.</w:t>
      </w:r>
    </w:p>
    <w:p>
      <w:pPr>
        <w:spacing w:after="100"/>
        <w:ind w:left="283"/>
      </w:pPr>
      <w:r>
        <w:rPr>
          <w:b/>
          <w:color w:val="173F45"/>
          <w:sz w:val="18"/>
        </w:rPr>
        <w:t xml:space="preserve">Production attendue : </w:t>
      </w:r>
      <w:r>
        <w:rPr>
          <w:sz w:val="18"/>
        </w:rPr>
        <w:t>Schéma ou tableau processus / risque / conséquence.</w:t>
      </w:r>
    </w:p>
    <w:p>
      <w:pPr>
        <w:keepNext/>
        <w:spacing w:after="60"/>
      </w:pPr>
      <w:r>
        <w:rPr>
          <w:b/>
          <w:color w:val="0F4C5C"/>
        </w:rPr>
      </w:r>
      <w:r>
        <w:rPr>
          <w:rFonts w:ascii="Arial" w:hAnsi="Arial"/>
          <w:sz w:val="20"/>
        </w:rPr>
      </w:r>
      <w:r>
        <w:t>3. Établissez un prédiagnostic comportant au moins douze risques plausibles répartis entre : financier, santé-sécurité, informatique/données, fournisseurs/continuité, environnement, qualité, juridique/réputation. À ce stade, appuyez-vous uniquement sur les indices réellement disponibles et signalez ce qui doit encore être vérifié.</w:t>
      </w:r>
    </w:p>
    <w:p>
      <w:pPr>
        <w:spacing w:after="100"/>
        <w:ind w:left="283"/>
      </w:pPr>
      <w:r>
        <w:rPr>
          <w:b/>
          <w:color w:val="173F45"/>
          <w:sz w:val="18"/>
        </w:rPr>
      </w:r>
      <w:r>
        <w:rPr>
          <w:sz w:val="18"/>
        </w:rPr>
      </w:r>
      <w:r>
        <w:t>Production attendue : Tableau « risque plausible / indice disponible / conséquence possible / information manquante / maîtrise à vérifier / priorité d’investigation ». Ne chiffrez pas une probabilité si les données disponibles ne permettent pas de la justifier.</w:t>
      </w:r>
    </w:p>
    <w:p>
      <w:pPr>
        <w:keepNext/>
        <w:spacing w:after="60"/>
      </w:pPr>
      <w:r>
        <w:rPr>
          <w:b/>
          <w:color w:val="0F4C5C"/>
        </w:rPr>
        <w:t xml:space="preserve">4. </w:t>
      </w:r>
      <w:r>
        <w:rPr>
          <w:rFonts w:ascii="Arial" w:hAnsi="Arial"/>
          <w:sz w:val="20"/>
        </w:rPr>
        <w:t>Construisez un dispositif de veille limité mais exploitable : cinq thèmes maximum, sources fiables, fréquence, mots-clés, destinataire et règle d’alerte. Justifiez les sources retenues.</w:t>
      </w:r>
    </w:p>
    <w:p>
      <w:pPr>
        <w:spacing w:after="100"/>
        <w:ind w:left="283"/>
      </w:pPr>
      <w:r>
        <w:rPr>
          <w:b/>
          <w:color w:val="173F45"/>
          <w:sz w:val="18"/>
        </w:rPr>
        <w:t xml:space="preserve">Production attendue : </w:t>
      </w:r>
      <w:r>
        <w:rPr>
          <w:sz w:val="18"/>
        </w:rPr>
        <w:t>Tableau de veille + synthèse de 10 lignes destinée à la direction.</w:t>
      </w:r>
    </w:p>
    <w:p>
      <w:pPr>
        <w:keepNext/>
        <w:spacing w:after="60"/>
      </w:pPr>
      <w:r>
        <w:rPr>
          <w:b/>
          <w:color w:val="0F4C5C"/>
        </w:rPr>
        <w:t xml:space="preserve">5. </w:t>
      </w:r>
      <w:r>
        <w:rPr>
          <w:rFonts w:ascii="Arial" w:hAnsi="Arial"/>
          <w:sz w:val="20"/>
        </w:rPr>
        <w:t>À partir de R09, classez chaque information dans l’une des catégories suivantes : obligation légale/réglementaire, recommandation de sécurité, dispositif volontaire, certification volontaire. Expliquez pourquoi cette distinction est importante pour la PME.</w:t>
      </w:r>
    </w:p>
    <w:p>
      <w:pPr>
        <w:spacing w:after="100"/>
        <w:ind w:left="283"/>
      </w:pPr>
      <w:r>
        <w:rPr>
          <w:b/>
          <w:color w:val="173F45"/>
          <w:sz w:val="18"/>
        </w:rPr>
        <w:t xml:space="preserve">Production attendue : </w:t>
      </w:r>
      <w:r>
        <w:rPr>
          <w:sz w:val="18"/>
        </w:rPr>
        <w:t>Tableau de qualification de l’information.</w:t>
      </w:r>
    </w:p>
    <w:p>
      <w:r>
        <w:br w:type="page"/>
      </w:r>
    </w:p>
    <w:p>
      <w:pPr>
        <w:pStyle w:val="Title"/>
      </w:pPr>
      <w:r>
        <w:t>Situation 2 — Santé, sécurité et mise à jour du DUERP</w:t>
      </w:r>
    </w:p>
    <w:p>
      <w:r>
        <w:t>Plusieurs événements ont été inscrits dans un registre interne. La direction souhaite savoir si le DUERP et le plan de prévention doivent être mis à jour. Utilisez R02, R03 et R09.</w:t>
      </w:r>
    </w:p>
    <w:p>
      <w:pPr>
        <w:keepNext/>
        <w:spacing w:before="40" w:after="100"/>
      </w:pPr>
      <w:r>
        <w:rPr>
          <w:rFonts w:ascii="Arial" w:hAnsi="Arial"/>
          <w:i/>
          <w:color w:val="505050"/>
          <w:sz w:val="17"/>
        </w:rPr>
        <w:t>Repères référentiel — A2.3 Démarche de gestion des risques + A2.5 Risques non financiers · #T.2.3.1 · #T.2.3.3 à #T.2.3.5 · #T.2.5.1 · #S 2.3 · #S 2.5.1 · #S 2.5.2 · #S 2.7 · #S 5.2</w:t>
      </w:r>
    </w:p>
    <w:p>
      <w:pPr>
        <w:keepNext/>
        <w:spacing w:after="60"/>
      </w:pPr>
      <w:r>
        <w:rPr>
          <w:b/>
          <w:color w:val="0F4C5C"/>
        </w:rPr>
        <w:t xml:space="preserve">6. </w:t>
      </w:r>
      <w:r>
        <w:rPr>
          <w:rFonts w:ascii="Arial" w:hAnsi="Arial"/>
          <w:sz w:val="20"/>
        </w:rPr>
        <w:t>Contrôlez la qualité du registre avant tout calcul. Repérez les doublons, données ambiguës ou informations à confirmer. Expliquez les corrections que vous retenez sans supprimer une ligne sans justification.</w:t>
      </w:r>
    </w:p>
    <w:p>
      <w:pPr>
        <w:spacing w:after="100"/>
        <w:ind w:left="283"/>
      </w:pPr>
      <w:r>
        <w:rPr>
          <w:b/>
          <w:color w:val="173F45"/>
          <w:sz w:val="18"/>
        </w:rPr>
        <w:t xml:space="preserve">Production attendue : </w:t>
      </w:r>
      <w:r>
        <w:rPr>
          <w:sz w:val="18"/>
        </w:rPr>
        <w:t>Note de contrôle des données.</w:t>
      </w:r>
    </w:p>
    <w:p>
      <w:pPr>
        <w:keepNext/>
        <w:spacing w:after="60"/>
      </w:pPr>
      <w:r>
        <w:rPr>
          <w:b/>
          <w:color w:val="0F4C5C"/>
        </w:rPr>
        <w:t xml:space="preserve">7. </w:t>
      </w:r>
      <w:r>
        <w:rPr>
          <w:rFonts w:ascii="Arial" w:hAnsi="Arial"/>
          <w:sz w:val="20"/>
        </w:rPr>
        <w:t>Après fiabilisation, analysez les événements par unité de travail et par nature. Produisez au moins deux indicateurs et une représentation graphique pertinente.</w:t>
      </w:r>
    </w:p>
    <w:p>
      <w:pPr>
        <w:spacing w:after="100"/>
        <w:ind w:left="283"/>
      </w:pPr>
      <w:r>
        <w:rPr>
          <w:b/>
          <w:color w:val="173F45"/>
          <w:sz w:val="18"/>
        </w:rPr>
        <w:t xml:space="preserve">Production attendue : </w:t>
      </w:r>
      <w:r>
        <w:rPr>
          <w:sz w:val="18"/>
        </w:rPr>
        <w:t>Tableur avec calculs automatisés et graphique.</w:t>
      </w:r>
    </w:p>
    <w:p>
      <w:pPr>
        <w:keepNext/>
        <w:spacing w:after="60"/>
      </w:pPr>
      <w:r>
        <w:rPr>
          <w:b/>
          <w:color w:val="0F4C5C"/>
        </w:rPr>
      </w:r>
      <w:r>
        <w:rPr>
          <w:rFonts w:ascii="Arial" w:hAnsi="Arial"/>
          <w:sz w:val="20"/>
        </w:rPr>
      </w:r>
      <w:r>
        <w:t>8. Sélectionnez cinq situations de risque à réévaluer dans le DUERP. Attribuez une probabilité du dommage et une gravité selon la grille de R03, puis justifiez chaque cotation à partir de la fréquence d’exposition, des conditions de travail, des événements observés et des mesures existantes. La fréquence d’exposition ne doit pas être transformée mécaniquement en niveau de probabilité.</w:t>
      </w:r>
    </w:p>
    <w:p>
      <w:pPr>
        <w:spacing w:after="100"/>
        <w:ind w:left="283"/>
      </w:pPr>
      <w:r>
        <w:rPr>
          <w:b/>
          <w:color w:val="173F45"/>
          <w:sz w:val="18"/>
        </w:rPr>
        <w:t xml:space="preserve">Production attendue : </w:t>
      </w:r>
      <w:r>
        <w:rPr>
          <w:sz w:val="18"/>
        </w:rPr>
        <w:t>Extrait de DUERP mis à jour.</w:t>
      </w:r>
    </w:p>
    <w:p>
      <w:pPr>
        <w:keepNext/>
        <w:spacing w:after="60"/>
      </w:pPr>
      <w:r>
        <w:rPr>
          <w:b/>
          <w:color w:val="0F4C5C"/>
        </w:rPr>
        <w:t xml:space="preserve">9. </w:t>
      </w:r>
      <w:r>
        <w:rPr>
          <w:rFonts w:ascii="Arial" w:hAnsi="Arial"/>
          <w:sz w:val="20"/>
        </w:rPr>
        <w:t>Proposez un plan de prévention priorisé : action, type d’action, responsable, délai, coût ou ressource estimée, preuve attendue et indicateur d’efficacité.</w:t>
      </w:r>
    </w:p>
    <w:p>
      <w:pPr>
        <w:spacing w:after="100"/>
        <w:ind w:left="283"/>
      </w:pPr>
      <w:r>
        <w:rPr>
          <w:b/>
          <w:color w:val="173F45"/>
          <w:sz w:val="18"/>
        </w:rPr>
        <w:t xml:space="preserve">Production attendue : </w:t>
      </w:r>
      <w:r>
        <w:rPr>
          <w:sz w:val="18"/>
        </w:rPr>
        <w:t>Plan d’actions de prévention.</w:t>
      </w:r>
    </w:p>
    <w:p>
      <w:pPr>
        <w:keepNext/>
        <w:spacing w:after="60"/>
      </w:pPr>
      <w:r>
        <w:rPr>
          <w:b/>
          <w:color w:val="0F4C5C"/>
        </w:rPr>
        <w:t xml:space="preserve">10. </w:t>
      </w:r>
      <w:r>
        <w:rPr>
          <w:rFonts w:ascii="Arial" w:hAnsi="Arial"/>
          <w:sz w:val="20"/>
        </w:rPr>
        <w:t>Rédigez une note d’alerte à la direction sur le risque que vous jugez le plus urgent. La note doit distinguer fait, risque, mesure conservatoire éventuelle, action à valider et information manquante.</w:t>
      </w:r>
    </w:p>
    <w:p>
      <w:pPr>
        <w:spacing w:after="100"/>
        <w:ind w:left="283"/>
      </w:pPr>
      <w:r>
        <w:rPr>
          <w:b/>
          <w:color w:val="173F45"/>
          <w:sz w:val="18"/>
        </w:rPr>
        <w:t xml:space="preserve">Production attendue : </w:t>
      </w:r>
      <w:r>
        <w:rPr>
          <w:sz w:val="18"/>
        </w:rPr>
        <w:t>Note professionnelle de 250 à 350 mots.</w:t>
      </w:r>
    </w:p>
    <w:p>
      <w:pPr>
        <w:keepNext/>
        <w:spacing w:after="60"/>
      </w:pPr>
      <w:r>
        <w:t>11. À partir d’une source institutionnelle ou réglementaire de R09, précisez dans quels cas le DUERP doit être mis à jour et comment sa traçabilité est organisée. Reliez la règle au scénario du TP.</w:t>
      </w:r>
    </w:p>
    <w:p>
      <w:pPr>
        <w:spacing w:after="100"/>
        <w:ind w:left="283"/>
      </w:pPr>
      <w:r>
        <w:rPr>
          <w:b/>
          <w:color w:val="173F45"/>
          <w:sz w:val="18"/>
        </w:rPr>
        <w:t xml:space="preserve">Production attendue : </w:t>
      </w:r>
      <w:r>
        <w:rPr>
          <w:sz w:val="18"/>
        </w:rPr>
        <w:t>Réponse argumentée sourcée.</w:t>
      </w:r>
    </w:p>
    <w:p>
      <w:r>
        <w:br w:type="page"/>
      </w:r>
    </w:p>
    <w:p>
      <w:pPr>
        <w:pStyle w:val="Title"/>
      </w:pPr>
      <w:r>
        <w:t>Situation 3 — Cyberattaque, continuité numérique et données personnelles</w:t>
      </w:r>
    </w:p>
    <w:p>
      <w:r>
        <w:t>Un compte de messagerie a été compromis dans le scénario pédagogique. La direction attend une analyse structurée avant toute communication externe. Utilisez R04, R05 et R09.</w:t>
      </w:r>
    </w:p>
    <w:p>
      <w:pPr>
        <w:keepNext/>
        <w:spacing w:before="40" w:after="100"/>
      </w:pPr>
      <w:r>
        <w:rPr>
          <w:rFonts w:ascii="Arial" w:hAnsi="Arial"/>
          <w:i/>
          <w:color w:val="505050"/>
          <w:sz w:val="17"/>
        </w:rPr>
        <w:t>Repères référentiel — A2.3 Démarche de gestion des risques + A2.5 Risques non financiers · #T.2.3.1 à #T.2.3.5 · #T.2.5.4 · #S 2.3 · #S 2.5.3 · #S 2.5.5 · #S 2.7 · #S 5.2 · #S 5.4</w:t>
      </w:r>
    </w:p>
    <w:p>
      <w:pPr>
        <w:keepNext/>
        <w:spacing w:after="60"/>
      </w:pPr>
      <w:r>
        <w:rPr>
          <w:b/>
          <w:color w:val="0F4C5C"/>
        </w:rPr>
        <w:t xml:space="preserve">12. </w:t>
      </w:r>
      <w:r>
        <w:rPr>
          <w:rFonts w:ascii="Arial" w:hAnsi="Arial"/>
          <w:sz w:val="20"/>
        </w:rPr>
        <w:t>Reconstituez la chronologie de l’incident en séparant trois colonnes : faits confirmés, hypothèses, informations manquantes. Identifiez les preuves numériques à conserver.</w:t>
      </w:r>
    </w:p>
    <w:p>
      <w:pPr>
        <w:spacing w:after="100"/>
        <w:ind w:left="283"/>
      </w:pPr>
      <w:r>
        <w:rPr>
          <w:b/>
          <w:color w:val="173F45"/>
          <w:sz w:val="18"/>
        </w:rPr>
        <w:t xml:space="preserve">Production attendue : </w:t>
      </w:r>
      <w:r>
        <w:rPr>
          <w:sz w:val="18"/>
        </w:rPr>
        <w:t>Chronologie qualifiée.</w:t>
      </w:r>
    </w:p>
    <w:p>
      <w:pPr>
        <w:keepNext/>
        <w:spacing w:after="60"/>
      </w:pPr>
      <w:r>
        <w:rPr>
          <w:b/>
          <w:color w:val="0F4C5C"/>
        </w:rPr>
        <w:t xml:space="preserve">13. </w:t>
      </w:r>
      <w:r>
        <w:rPr>
          <w:rFonts w:ascii="Arial" w:hAnsi="Arial"/>
          <w:sz w:val="20"/>
        </w:rPr>
        <w:t>Identifiez les données personnelles potentiellement concernées, les catégories de personnes et les conséquences possibles pour elles. Signalez ce qui doit encore être confirmé.</w:t>
      </w:r>
    </w:p>
    <w:p>
      <w:pPr>
        <w:spacing w:after="100"/>
        <w:ind w:left="283"/>
      </w:pPr>
      <w:r>
        <w:rPr>
          <w:b/>
          <w:color w:val="173F45"/>
          <w:sz w:val="18"/>
        </w:rPr>
        <w:t xml:space="preserve">Production attendue : </w:t>
      </w:r>
      <w:r>
        <w:rPr>
          <w:sz w:val="18"/>
        </w:rPr>
        <w:t>Fiche d’impact sur les données.</w:t>
      </w:r>
    </w:p>
    <w:p>
      <w:pPr>
        <w:keepNext/>
        <w:spacing w:after="60"/>
      </w:pPr>
      <w:r>
        <w:rPr>
          <w:b/>
          <w:color w:val="0F4C5C"/>
        </w:rPr>
      </w:r>
      <w:r>
        <w:rPr>
          <w:rFonts w:ascii="Arial" w:hAnsi="Arial"/>
          <w:sz w:val="20"/>
        </w:rPr>
      </w:r>
      <w:r>
        <w:t>14. À l’aide des règles CNIL, expliquez dans quels cas l’incident doit seulement être documenté, dans quels cas une notification à la CNIL est requise et dans quels cas les personnes concernées doivent également être informées. Intégrez le repère du délai maximal de 72 heures lorsque la notification est requise et appliquez ce raisonnement au dossier sans conclure au-delà des faits disponibles.</w:t>
      </w:r>
    </w:p>
    <w:p>
      <w:pPr>
        <w:spacing w:after="100"/>
        <w:ind w:left="283"/>
      </w:pPr>
      <w:r>
        <w:rPr>
          <w:b/>
          <w:color w:val="173F45"/>
          <w:sz w:val="18"/>
        </w:rPr>
        <w:t xml:space="preserve">Production attendue : </w:t>
      </w:r>
      <w:r>
        <w:rPr>
          <w:sz w:val="18"/>
        </w:rPr>
        <w:t>Note de qualification RGPD.</w:t>
      </w:r>
    </w:p>
    <w:p>
      <w:pPr>
        <w:keepNext/>
        <w:spacing w:after="60"/>
      </w:pPr>
      <w:r>
        <w:rPr>
          <w:b/>
          <w:color w:val="0F4C5C"/>
        </w:rPr>
        <w:t xml:space="preserve">15. </w:t>
      </w:r>
      <w:r>
        <w:rPr>
          <w:rFonts w:ascii="Arial" w:hAnsi="Arial"/>
          <w:sz w:val="20"/>
        </w:rPr>
        <w:t>Analysez l’onglet « Applications » de R05. Sélectionnez au moins six vulnérabilités ou faiblesses de maîtrise et proposez des actions classées par urgence (immédiat / 30 jours / 90 jours).</w:t>
      </w:r>
    </w:p>
    <w:p>
      <w:pPr>
        <w:spacing w:after="100"/>
        <w:ind w:left="283"/>
      </w:pPr>
      <w:r>
        <w:rPr>
          <w:b/>
          <w:color w:val="173F45"/>
          <w:sz w:val="18"/>
        </w:rPr>
        <w:t xml:space="preserve">Production attendue : </w:t>
      </w:r>
      <w:r>
        <w:rPr>
          <w:sz w:val="18"/>
        </w:rPr>
        <w:t>Plan de réduction du risque cyber.</w:t>
      </w:r>
    </w:p>
    <w:p>
      <w:pPr>
        <w:keepNext/>
        <w:spacing w:after="60"/>
      </w:pPr>
      <w:r>
        <w:rPr>
          <w:b/>
          <w:color w:val="0F4C5C"/>
        </w:rPr>
        <w:t xml:space="preserve">16. </w:t>
      </w:r>
      <w:r>
        <w:rPr>
          <w:rFonts w:ascii="Arial" w:hAnsi="Arial"/>
          <w:sz w:val="20"/>
        </w:rPr>
        <w:t>Vérifiez la politique de sauvegarde au regard de la règle 3-2-1 et de la nécessité de tester la restauration. Proposez un dispositif réaliste pour une PME.</w:t>
      </w:r>
    </w:p>
    <w:p>
      <w:pPr>
        <w:spacing w:after="100"/>
        <w:ind w:left="283"/>
      </w:pPr>
      <w:r>
        <w:rPr>
          <w:b/>
          <w:color w:val="173F45"/>
          <w:sz w:val="18"/>
        </w:rPr>
        <w:t xml:space="preserve">Production attendue : </w:t>
      </w:r>
      <w:r>
        <w:rPr>
          <w:sz w:val="18"/>
        </w:rPr>
        <w:t>Procédure synthétique de sauvegarde et de test.</w:t>
      </w:r>
    </w:p>
    <w:p>
      <w:pPr>
        <w:keepNext/>
        <w:spacing w:after="60"/>
      </w:pPr>
      <w:r>
        <w:rPr>
          <w:b/>
          <w:color w:val="0F4C5C"/>
        </w:rPr>
        <w:t xml:space="preserve">17. </w:t>
      </w:r>
      <w:r>
        <w:rPr>
          <w:rFonts w:ascii="Arial" w:hAnsi="Arial"/>
          <w:sz w:val="20"/>
        </w:rPr>
        <w:t>Rédigez une procédure « premières actions en cas de suspicion de phishing ou violation de données » destinée aux salariés. Elle doit être courte, compréhensible et ne pas demander au salarié de mener lui-même l’enquête technique.</w:t>
      </w:r>
    </w:p>
    <w:p>
      <w:pPr>
        <w:spacing w:after="100"/>
        <w:ind w:left="283"/>
      </w:pPr>
      <w:r>
        <w:rPr>
          <w:b/>
          <w:color w:val="173F45"/>
          <w:sz w:val="18"/>
        </w:rPr>
        <w:t xml:space="preserve">Production attendue : </w:t>
      </w:r>
      <w:r>
        <w:rPr>
          <w:sz w:val="18"/>
        </w:rPr>
        <w:t>Procédure d’une page.</w:t>
      </w:r>
    </w:p>
    <w:p>
      <w:r>
        <w:br w:type="page"/>
      </w:r>
    </w:p>
    <w:p>
      <w:pPr>
        <w:pStyle w:val="Title"/>
      </w:pPr>
      <w:r>
        <w:t>Situation 4 — Risque client et trésorerie</w:t>
      </w:r>
    </w:p>
    <w:p>
      <w:r>
        <w:t>Le réseau de revendeurs B2B expose la PME à des retards de règlement. La direction fixe une réserve de trésorerie opérationnelle minimale de 60 000 € pour le scénario. Utilisez R06.</w:t>
      </w:r>
    </w:p>
    <w:p>
      <w:pPr>
        <w:keepNext/>
        <w:spacing w:before="40" w:after="100"/>
      </w:pPr>
      <w:r>
        <w:rPr>
          <w:rFonts w:ascii="Arial" w:hAnsi="Arial"/>
          <w:i/>
          <w:color w:val="505050"/>
          <w:sz w:val="17"/>
        </w:rPr>
        <w:t>Repères référentiel — A2.4 Gestion des risques financiers · #T.2.4.1 à #T.2.4.6 · #S 2.4 · #S 2.7.1 · #S 5.1 · #S 5.2</w:t>
      </w:r>
    </w:p>
    <w:p>
      <w:pPr>
        <w:keepNext/>
        <w:spacing w:after="60"/>
      </w:pPr>
      <w:r>
        <w:rPr>
          <w:b/>
          <w:color w:val="0F4C5C"/>
        </w:rPr>
        <w:t xml:space="preserve">18. </w:t>
      </w:r>
      <w:r>
        <w:rPr>
          <w:rFonts w:ascii="Arial" w:hAnsi="Arial"/>
          <w:sz w:val="20"/>
        </w:rPr>
        <w:t>Contrôlez le fichier des créances : repérez les lignes nécessitant une vérification et distinguez une créance en retard, une créance litigieuse, une créance assurée et une créance simplement non échue.</w:t>
      </w:r>
    </w:p>
    <w:p>
      <w:pPr>
        <w:spacing w:after="100"/>
        <w:ind w:left="283"/>
      </w:pPr>
      <w:r>
        <w:rPr>
          <w:b/>
          <w:color w:val="173F45"/>
          <w:sz w:val="18"/>
        </w:rPr>
        <w:t xml:space="preserve">Production attendue : </w:t>
      </w:r>
      <w:r>
        <w:rPr>
          <w:sz w:val="18"/>
        </w:rPr>
        <w:t>Liste de contrôles et corrections proposées.</w:t>
      </w:r>
    </w:p>
    <w:p>
      <w:pPr>
        <w:keepNext/>
        <w:spacing w:after="60"/>
      </w:pPr>
      <w:r>
        <w:rPr>
          <w:b/>
          <w:color w:val="0F4C5C"/>
        </w:rPr>
        <w:t xml:space="preserve">19. </w:t>
      </w:r>
      <w:r>
        <w:rPr>
          <w:rFonts w:ascii="Arial" w:hAnsi="Arial"/>
          <w:sz w:val="20"/>
        </w:rPr>
        <w:t>Construisez une balance âgée au 30/09/2026. Calculez le total des créances, le total échu, le taux de créances échues et la répartition par classes de retard. Identifiez les trois dossiers à traiter en priorité et justifiez.</w:t>
      </w:r>
    </w:p>
    <w:p>
      <w:pPr>
        <w:spacing w:after="100"/>
        <w:ind w:left="283"/>
      </w:pPr>
      <w:r>
        <w:rPr>
          <w:b/>
          <w:color w:val="173F45"/>
          <w:sz w:val="18"/>
        </w:rPr>
        <w:t xml:space="preserve">Production attendue : </w:t>
      </w:r>
      <w:r>
        <w:rPr>
          <w:sz w:val="18"/>
        </w:rPr>
        <w:t>Tableau automatisé + graphique.</w:t>
      </w:r>
    </w:p>
    <w:p>
      <w:pPr>
        <w:keepNext/>
        <w:spacing w:after="60"/>
      </w:pPr>
      <w:r>
        <w:rPr>
          <w:b/>
          <w:color w:val="0F4C5C"/>
        </w:rPr>
        <w:t xml:space="preserve">20. </w:t>
      </w:r>
      <w:r>
        <w:rPr>
          <w:rFonts w:ascii="Arial" w:hAnsi="Arial"/>
          <w:sz w:val="20"/>
        </w:rPr>
        <w:t>Complétez la trésorerie à 8 semaines en scénario nominal puis en scénario prudent selon les hypothèses du fichier. Repérez les semaines où la réserve minimale est menacée.</w:t>
      </w:r>
    </w:p>
    <w:p>
      <w:pPr>
        <w:spacing w:after="100"/>
        <w:ind w:left="283"/>
      </w:pPr>
      <w:r>
        <w:rPr>
          <w:b/>
          <w:color w:val="173F45"/>
          <w:sz w:val="18"/>
        </w:rPr>
        <w:t xml:space="preserve">Production attendue : </w:t>
      </w:r>
      <w:r>
        <w:rPr>
          <w:sz w:val="18"/>
        </w:rPr>
        <w:t>Budget de trésorerie à deux scénarios.</w:t>
      </w:r>
    </w:p>
    <w:p>
      <w:pPr>
        <w:keepNext/>
        <w:spacing w:after="60"/>
      </w:pPr>
      <w:r>
        <w:rPr>
          <w:b/>
          <w:color w:val="0F4C5C"/>
        </w:rPr>
        <w:t xml:space="preserve">21. </w:t>
      </w:r>
      <w:r>
        <w:rPr>
          <w:rFonts w:ascii="Arial" w:hAnsi="Arial"/>
          <w:sz w:val="20"/>
        </w:rPr>
        <w:t>Comparez les solutions proposées dans R06 : relance/blocage, acompte, assurance-crédit, affacturage avec ou sans recours. Construisez une recommandation combinée plutôt qu’une réponse unique.</w:t>
      </w:r>
    </w:p>
    <w:p>
      <w:pPr>
        <w:spacing w:after="100"/>
        <w:ind w:left="283"/>
      </w:pPr>
      <w:r>
        <w:rPr>
          <w:b/>
          <w:color w:val="173F45"/>
          <w:sz w:val="18"/>
        </w:rPr>
        <w:t xml:space="preserve">Production attendue : </w:t>
      </w:r>
      <w:r>
        <w:rPr>
          <w:sz w:val="18"/>
        </w:rPr>
        <w:t>Note d’aide à la décision avec avantages, limites et conditions.</w:t>
      </w:r>
    </w:p>
    <w:p>
      <w:pPr>
        <w:keepNext/>
        <w:spacing w:after="60"/>
      </w:pPr>
      <w:r>
        <w:rPr>
          <w:b/>
          <w:color w:val="0F4C5C"/>
        </w:rPr>
        <w:t xml:space="preserve">22. </w:t>
      </w:r>
      <w:r>
        <w:rPr>
          <w:rFonts w:ascii="Arial" w:hAnsi="Arial"/>
          <w:sz w:val="20"/>
        </w:rPr>
        <w:t>Proposez un tableau de bord de cinq indicateurs maximum permettant le suivi mensuel du risque client et de la trésorerie. Pour chaque indicateur, définissez un seuil d’alerte.</w:t>
      </w:r>
    </w:p>
    <w:p>
      <w:pPr>
        <w:spacing w:after="100"/>
        <w:ind w:left="283"/>
      </w:pPr>
      <w:r>
        <w:rPr>
          <w:b/>
          <w:color w:val="173F45"/>
          <w:sz w:val="18"/>
        </w:rPr>
        <w:t xml:space="preserve">Production attendue : </w:t>
      </w:r>
      <w:r>
        <w:rPr>
          <w:sz w:val="18"/>
        </w:rPr>
        <w:t>Tableau de bord et message d’alerte type.</w:t>
      </w:r>
    </w:p>
    <w:p>
      <w:r>
        <w:br w:type="page"/>
      </w:r>
    </w:p>
    <w:p>
      <w:pPr>
        <w:pStyle w:val="Title"/>
      </w:pPr>
      <w:r>
        <w:t>Situation 5 — Dépendance fournisseurs, environnement et mode projet</w:t>
      </w:r>
    </w:p>
    <w:p>
      <w:r>
        <w:t>La fermeture d’un sous-traitant de coupe en 2023 constitue un fait public mentionné par 1083. Le scénario vous demande d’en tirer des enseignements génériques de continuité. Utilisez R01, R07, R08 et R09.</w:t>
      </w:r>
    </w:p>
    <w:p>
      <w:pPr>
        <w:keepNext/>
        <w:spacing w:before="40" w:after="100"/>
      </w:pPr>
      <w:r>
        <w:rPr>
          <w:rFonts w:ascii="Arial" w:hAnsi="Arial"/>
          <w:i/>
          <w:color w:val="505050"/>
          <w:sz w:val="17"/>
        </w:rPr>
        <w:t>Repères référentiel — A2.2 Travail en mode projet + A2.3 Démarche de gestion des risques + A2.5 Risques non financiers · #T.2.2.1 à #T.2.2.5 · #T.2.3.1 à #T.2.3.5 · #T.2.5.3 · #S 2.2 · #S 2.3 · #S 2.5.4 · #S 2.7 · #S 5.6</w:t>
      </w:r>
    </w:p>
    <w:p>
      <w:pPr>
        <w:keepNext/>
        <w:spacing w:after="60"/>
      </w:pPr>
      <w:r>
        <w:rPr>
          <w:b/>
          <w:color w:val="0F4C5C"/>
        </w:rPr>
      </w:r>
      <w:r>
        <w:rPr>
          <w:rFonts w:ascii="Arial" w:hAnsi="Arial"/>
          <w:sz w:val="20"/>
        </w:rPr>
      </w:r>
      <w:r>
        <w:t>23. Construisez une méthode de criticité fournisseurs à partir des données de R08 (volume concerné, alternative, délai de substitution, dépendance technique, incident, enjeux environnementaux). Classez les partenaires pédagogiques et retenez trois priorités. Si vous utilisez un score agrégé, justifiez les échelles et pondérations et vérifiez qu’elles ne comptent pas deux fois le même phénomène ; une représentation à plusieurs axes est également acceptable.</w:t>
      </w:r>
    </w:p>
    <w:p>
      <w:pPr>
        <w:spacing w:after="100"/>
        <w:ind w:left="283"/>
      </w:pPr>
      <w:r>
        <w:rPr>
          <w:b/>
          <w:color w:val="173F45"/>
          <w:sz w:val="18"/>
        </w:rPr>
        <w:t xml:space="preserve">Production attendue : </w:t>
      </w:r>
      <w:r>
        <w:rPr>
          <w:sz w:val="18"/>
        </w:rPr>
        <w:t>Matrice de criticité fournisseurs.</w:t>
      </w:r>
    </w:p>
    <w:p>
      <w:pPr>
        <w:keepNext/>
        <w:spacing w:after="60"/>
      </w:pPr>
      <w:r>
        <w:rPr>
          <w:b/>
          <w:color w:val="0F4C5C"/>
        </w:rPr>
        <w:t xml:space="preserve">24. </w:t>
      </w:r>
      <w:r>
        <w:rPr>
          <w:rFonts w:ascii="Arial" w:hAnsi="Arial"/>
          <w:sz w:val="20"/>
        </w:rPr>
        <w:t>À partir du fait public de 2023, formulez les enseignements de continuité d’activité sans attribuer aux partenaires réels des caractéristiques présentes dans R08. Proposez au moins quatre mesures préventives.</w:t>
      </w:r>
    </w:p>
    <w:p>
      <w:pPr>
        <w:spacing w:after="100"/>
        <w:ind w:left="283"/>
      </w:pPr>
      <w:r>
        <w:rPr>
          <w:b/>
          <w:color w:val="173F45"/>
          <w:sz w:val="18"/>
        </w:rPr>
        <w:t xml:space="preserve">Production attendue : </w:t>
      </w:r>
      <w:r>
        <w:rPr>
          <w:sz w:val="18"/>
        </w:rPr>
        <w:t>Retour d’expérience structuré.</w:t>
      </w:r>
    </w:p>
    <w:p>
      <w:pPr>
        <w:keepNext/>
        <w:spacing w:after="60"/>
      </w:pPr>
      <w:r>
        <w:rPr>
          <w:b/>
          <w:color w:val="0F4C5C"/>
        </w:rPr>
        <w:t xml:space="preserve">25. </w:t>
      </w:r>
      <w:r>
        <w:rPr>
          <w:rFonts w:ascii="Arial" w:hAnsi="Arial"/>
          <w:sz w:val="20"/>
        </w:rPr>
        <w:t>Réalisez une veille ciblée sur trois thèmes : REP textile, affichage du coût environnemental, Origine France Garantie. Pour chaque thème : statut, exigence ou opportunité, preuve à conserver, personne à alerter et fréquence de réexamen.</w:t>
      </w:r>
    </w:p>
    <w:p>
      <w:pPr>
        <w:spacing w:after="100"/>
        <w:ind w:left="283"/>
      </w:pPr>
      <w:r>
        <w:rPr>
          <w:b/>
          <w:color w:val="173F45"/>
          <w:sz w:val="18"/>
        </w:rPr>
        <w:t xml:space="preserve">Production attendue : </w:t>
      </w:r>
      <w:r>
        <w:rPr>
          <w:sz w:val="18"/>
        </w:rPr>
        <w:t>Fiche de veille décisionnelle.</w:t>
      </w:r>
    </w:p>
    <w:p>
      <w:pPr>
        <w:keepNext/>
        <w:spacing w:after="60"/>
      </w:pPr>
      <w:r>
        <w:rPr>
          <w:b/>
          <w:color w:val="0F4C5C"/>
        </w:rPr>
        <w:t xml:space="preserve">26. </w:t>
      </w:r>
      <w:r>
        <w:rPr>
          <w:rFonts w:ascii="Arial" w:hAnsi="Arial"/>
          <w:sz w:val="20"/>
        </w:rPr>
        <w:t>Transformez le brief R07 en mini-projet : objectif SMART, acteurs, contraintes, livrables, jalons, tâches, réunion de lancement, indicateurs et risques du projet lui-même.</w:t>
      </w:r>
    </w:p>
    <w:p>
      <w:pPr>
        <w:spacing w:after="100"/>
        <w:ind w:left="283"/>
      </w:pPr>
      <w:r>
        <w:rPr>
          <w:b/>
          <w:color w:val="173F45"/>
          <w:sz w:val="18"/>
        </w:rPr>
        <w:t xml:space="preserve">Production attendue : </w:t>
      </w:r>
      <w:r>
        <w:rPr>
          <w:sz w:val="18"/>
        </w:rPr>
        <w:t>Cahier des charges synthétique + planning / Gantt.</w:t>
      </w:r>
    </w:p>
    <w:p>
      <w:r>
        <w:br w:type="page"/>
      </w:r>
    </w:p>
    <w:p>
      <w:pPr>
        <w:pStyle w:val="Title"/>
      </w:pPr>
      <w:r>
        <w:t>Situation 6 — Qualité, amélioration des procédures et capitalisation</w:t>
      </w:r>
    </w:p>
    <w:p>
      <w:r>
        <w:t>La direction souhaite réduire les retours évitables sans alourdir tous les contrôles. Utilisez l’onglet « Retours_clients » de R08 et le brief R07.</w:t>
      </w:r>
    </w:p>
    <w:p>
      <w:pPr>
        <w:keepNext/>
        <w:spacing w:before="40" w:after="100"/>
      </w:pPr>
      <w:r>
        <w:rPr>
          <w:rFonts w:ascii="Arial" w:hAnsi="Arial"/>
          <w:i/>
          <w:color w:val="505050"/>
          <w:sz w:val="17"/>
        </w:rPr>
        <w:t>Repères référentiel — A2.6 Démarche qualité + A2.2 Suivi de projet · #T.2.6.1 à #T.2.6.3 · #T.2.2.5 · #S 2.6.1 · #S 2.6.2 · #S 2.7 · #S 5.2 · #S 5.3</w:t>
      </w:r>
    </w:p>
    <w:p>
      <w:pPr>
        <w:keepNext/>
        <w:spacing w:after="60"/>
      </w:pPr>
      <w:r>
        <w:rPr>
          <w:b/>
          <w:color w:val="0F4C5C"/>
        </w:rPr>
        <w:t xml:space="preserve">27. </w:t>
      </w:r>
      <w:r>
        <w:rPr>
          <w:rFonts w:ascii="Arial" w:hAnsi="Arial"/>
          <w:sz w:val="20"/>
        </w:rPr>
        <w:t>Analysez les 120 retours : répartition des motifs, coûts, délais SAV, lots, références et ateliers pédagogiques. Construisez un Pareto ou une analyse équivalente et identifiez le signal prioritaire.</w:t>
      </w:r>
    </w:p>
    <w:p>
      <w:pPr>
        <w:spacing w:after="100"/>
        <w:ind w:left="283"/>
      </w:pPr>
      <w:r>
        <w:rPr>
          <w:b/>
          <w:color w:val="173F45"/>
          <w:sz w:val="18"/>
        </w:rPr>
        <w:t xml:space="preserve">Production attendue : </w:t>
      </w:r>
      <w:r>
        <w:rPr>
          <w:sz w:val="18"/>
        </w:rPr>
        <w:t>Tableau croisé / synthèse chiffrée + graphique.</w:t>
      </w:r>
    </w:p>
    <w:p>
      <w:pPr>
        <w:keepNext/>
        <w:spacing w:after="60"/>
      </w:pPr>
      <w:r>
        <w:rPr>
          <w:b/>
          <w:color w:val="0F4C5C"/>
        </w:rPr>
        <w:t xml:space="preserve">28. </w:t>
      </w:r>
      <w:r>
        <w:rPr>
          <w:rFonts w:ascii="Arial" w:hAnsi="Arial"/>
          <w:sz w:val="20"/>
        </w:rPr>
        <w:t>Formulez des hypothèses de causes à l’aide d’un outil de résolution de problème (5M, 5 pourquoi, Ishikawa…). Distinguez explicitement les faits des hypothèses et indiquez les contrôles complémentaires nécessaires avant de conclure.</w:t>
      </w:r>
    </w:p>
    <w:p>
      <w:pPr>
        <w:spacing w:after="100"/>
        <w:ind w:left="283"/>
      </w:pPr>
      <w:r>
        <w:rPr>
          <w:b/>
          <w:color w:val="173F45"/>
          <w:sz w:val="18"/>
        </w:rPr>
        <w:t xml:space="preserve">Production attendue : </w:t>
      </w:r>
      <w:r>
        <w:rPr>
          <w:sz w:val="18"/>
        </w:rPr>
        <w:t>Analyse causes / vérifications.</w:t>
      </w:r>
    </w:p>
    <w:p>
      <w:pPr>
        <w:keepNext/>
        <w:spacing w:after="60"/>
      </w:pPr>
      <w:r>
        <w:rPr>
          <w:b/>
          <w:color w:val="0F4C5C"/>
        </w:rPr>
        <w:t xml:space="preserve">29. </w:t>
      </w:r>
      <w:r>
        <w:rPr>
          <w:rFonts w:ascii="Arial" w:hAnsi="Arial"/>
          <w:sz w:val="20"/>
        </w:rPr>
        <w:t>Formalisez une procédure de contrôle qualité ciblée sur le risque prioritaire : déclencheur, étapes, responsabilités, enregistrement, traitement d’une non-conformité, preuve et règle d’escalade.</w:t>
      </w:r>
    </w:p>
    <w:p>
      <w:pPr>
        <w:spacing w:after="100"/>
        <w:ind w:left="283"/>
      </w:pPr>
      <w:r>
        <w:rPr>
          <w:b/>
          <w:color w:val="173F45"/>
          <w:sz w:val="18"/>
        </w:rPr>
        <w:t xml:space="preserve">Production attendue : </w:t>
      </w:r>
      <w:r>
        <w:rPr>
          <w:sz w:val="18"/>
        </w:rPr>
        <w:t>Procédure opérationnelle d’une à deux pages.</w:t>
      </w:r>
    </w:p>
    <w:p>
      <w:pPr>
        <w:keepNext/>
        <w:spacing w:after="60"/>
      </w:pPr>
      <w:r>
        <w:rPr>
          <w:b/>
          <w:color w:val="0F4C5C"/>
        </w:rPr>
        <w:t xml:space="preserve">30. </w:t>
      </w:r>
      <w:r>
        <w:rPr>
          <w:rFonts w:ascii="Arial" w:hAnsi="Arial"/>
          <w:sz w:val="20"/>
        </w:rPr>
        <w:t>Complétez le plan projet de R08 : responsables, dates, dépendances, indicateurs et statut. Prévoyez une revue à quatre semaines et un critère de réussite mesurable.</w:t>
      </w:r>
    </w:p>
    <w:p>
      <w:pPr>
        <w:spacing w:after="100"/>
        <w:ind w:left="283"/>
      </w:pPr>
      <w:r>
        <w:rPr>
          <w:b/>
          <w:color w:val="173F45"/>
          <w:sz w:val="18"/>
        </w:rPr>
        <w:t xml:space="preserve">Production attendue : </w:t>
      </w:r>
      <w:r>
        <w:rPr>
          <w:sz w:val="18"/>
        </w:rPr>
        <w:t>Planning mis à jour + tableau de suivi.</w:t>
      </w:r>
    </w:p>
    <w:p>
      <w:pPr>
        <w:keepNext/>
        <w:spacing w:after="60"/>
      </w:pPr>
      <w:r>
        <w:rPr>
          <w:b/>
          <w:color w:val="0F4C5C"/>
        </w:rPr>
        <w:t xml:space="preserve">31. </w:t>
      </w:r>
      <w:r>
        <w:rPr>
          <w:rFonts w:ascii="Arial" w:hAnsi="Arial"/>
          <w:sz w:val="20"/>
        </w:rPr>
        <w:t>Créez une fiche de gestion des connaissances permettant de capitaliser un incident qualité ou fournisseur : contexte, faits, causes validées, solution, preuve d’efficacité, personne référente, documents liés et date de réexamen.</w:t>
      </w:r>
    </w:p>
    <w:p>
      <w:pPr>
        <w:spacing w:after="100"/>
        <w:ind w:left="283"/>
      </w:pPr>
      <w:r>
        <w:rPr>
          <w:b/>
          <w:color w:val="173F45"/>
          <w:sz w:val="18"/>
        </w:rPr>
        <w:t xml:space="preserve">Production attendue : </w:t>
      </w:r>
      <w:r>
        <w:rPr>
          <w:sz w:val="18"/>
        </w:rPr>
        <w:t>Modèle réutilisable par la PME.</w:t>
      </w:r>
    </w:p>
    <w:p>
      <w:pPr>
        <w:pStyle w:val="Title"/>
      </w:pPr>
      <w:r>
        <w:t>Restitution finale</w:t>
      </w:r>
    </w:p>
    <w:p>
      <w:pPr/>
      <w:r>
        <w:rPr>
          <w:b w:val="0"/>
        </w:rPr>
        <w:t>Avant la restitution, reprenez votre prédiagnostic de la situation 1 : quels risques confirmez-vous, reclassifiez-vous ou écartez-vous après l’étude des situations 2 à 6 ? Justifiez les évolutions avec les preuves désormais disponibles.</w:t>
      </w:r>
    </w:p>
    <w:tbl>
      <w:tblPr>
        <w:tblW w:type="auto" w:w="0"/>
        <w:jc w:val="center"/>
        <w:tblLayout w:type="autofit"/>
        <w:tblLook w:firstColumn="1" w:firstRow="1" w:lastColumn="0" w:lastRow="0" w:noHBand="0" w:noVBand="1" w:val="04A0"/>
      </w:tblPr>
      <w:tblGrid>
        <w:gridCol w:w="10312"/>
      </w:tblGrid>
      <w:tr>
        <w:trPr>
          <w:cantSplit/>
        </w:trPr>
        <w:tc>
          <w:tcPr>
            <w:tcW w:type="dxa" w:w="10312"/>
            <w:shd w:fill="E7F3E8"/>
          </w:tcPr>
          <w:p>
            <w:r>
              <w:rPr>
                <w:rFonts w:ascii="Arial" w:hAnsi="Arial"/>
                <w:sz w:val="19"/>
              </w:rPr>
            </w:r>
            <w:r>
              <w:rPr>
                <w:rFonts w:ascii="Arial" w:hAnsi="Arial"/>
                <w:b/>
                <w:sz w:val="19"/>
              </w:rPr>
              <w:t xml:space="preserve">Oral — </w:t>
            </w:r>
            <w:r>
              <w:rPr>
                <w:rFonts w:ascii="Arial" w:hAnsi="Arial"/>
                <w:sz w:val="19"/>
              </w:rPr>
              <w:t>Préparez une synthèse de 5 minutes destinée à la direction : trois risques prioritaires, les faits qui justifient ce choix, les actions proposées, leur coût/effort, les indicateurs de suivi et les décisions qui restent à valider.</w:t>
            </w:r>
          </w:p>
        </w:tc>
      </w:tr>
    </w:tbl>
    <w:p>
      <w:pPr>
        <w:pStyle w:val="Heading1"/>
      </w:pPr>
      <w:r>
        <w:t>Critères de réussite</w:t>
      </w:r>
    </w:p>
    <w:p>
      <w:pPr>
        <w:pStyle w:val="ListBullet"/>
        <w:spacing w:after="40"/>
      </w:pPr>
      <w:r>
        <w:rPr>
          <w:rFonts w:ascii="Arial" w:hAnsi="Arial"/>
          <w:sz w:val="20"/>
        </w:rPr>
        <w:t>Les données sont contrôlées avant d’être utilisées.</w:t>
      </w:r>
    </w:p>
    <w:p>
      <w:pPr>
        <w:pStyle w:val="ListBullet"/>
        <w:spacing w:after="40"/>
      </w:pPr>
      <w:r>
        <w:rPr>
          <w:rFonts w:ascii="Arial" w:hAnsi="Arial"/>
          <w:sz w:val="20"/>
        </w:rPr>
        <w:t>Les sources sont fiables, datées et correctement qualifiées.</w:t>
      </w:r>
    </w:p>
    <w:p>
      <w:pPr>
        <w:pStyle w:val="ListBullet"/>
        <w:spacing w:after="40"/>
      </w:pPr>
      <w:r>
        <w:rPr>
          <w:rFonts w:ascii="Arial" w:hAnsi="Arial"/>
          <w:sz w:val="20"/>
        </w:rPr>
        <w:t>Les calculs sont automatisés lorsqu’un tableur est pertinent.</w:t>
      </w:r>
    </w:p>
    <w:p>
      <w:pPr>
        <w:pStyle w:val="ListBullet"/>
        <w:spacing w:after="40"/>
      </w:pPr>
      <w:r>
        <w:rPr>
          <w:rFonts w:ascii="Arial" w:hAnsi="Arial"/>
          <w:sz w:val="20"/>
        </w:rPr>
        <w:t>L’étudiant distingue faits, hypothèses, règles et décisions.</w:t>
      </w:r>
    </w:p>
    <w:p>
      <w:pPr>
        <w:pStyle w:val="ListBullet"/>
        <w:spacing w:after="40"/>
      </w:pPr>
      <w:r>
        <w:rPr>
          <w:rFonts w:ascii="Arial" w:hAnsi="Arial"/>
          <w:sz w:val="20"/>
        </w:rPr>
        <w:t>Les actions sont réalistes pour une PME, priorisées et suivies par des preuves / indicateurs.</w:t>
      </w:r>
    </w:p>
    <w:p>
      <w:pPr>
        <w:pStyle w:val="ListBullet"/>
        <w:spacing w:after="40"/>
      </w:pPr>
      <w:r>
        <w:rPr>
          <w:rFonts w:ascii="Arial" w:hAnsi="Arial"/>
          <w:sz w:val="20"/>
        </w:rPr>
        <w:t>Les productions professionnelles sont lisibles, synthétiques et adaptées au destinataire.</w:t>
      </w:r>
    </w:p>
    <w:p>
      <w:pPr/>
      <w:r>
        <w:t>La contribution au travail collectif est identifiable, les échéances sont respectées et les productions importantes ont fait l’objet d’un contrôle croisé.</w:t>
      </w:r>
    </w:p>
    <w:sectPr w:rsidR="00FC693F" w:rsidRPr="0006063C" w:rsidSect="00034616">
      <w:headerReference w:type="default" r:id="rId9"/>
      <w:footerReference w:type="default" r:id="rId10"/>
      <w:pgSz w:w="12240" w:h="15840"/>
      <w:pgMar w:top="850" w:right="964" w:bottom="85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 xml:space="preserve">Cas pédagogique 1083 — données internes simulées — </w:t>
    </w:r>
    <w:r>
      <w:t xml:space="preserve">  ·  v1.2</w:t>
    </w:r>
  </w:p>
  <w:p>
    <w:pP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BTS GPME — Participer à la gestion des risques de la PME — Dossier étudiant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gne">
    <w:name w:val="Consigne"/>
    <w:rPr>
      <w:rFonts w:ascii="Arial" w:hAnsi="Arial"/>
      <w:b/>
      <w:color w:val="173F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