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R01 — Contexte public de l’entreprise 1083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FF3CD"/>
          </w:tcPr>
          <w:p>
            <w:r>
              <w:rPr>
                <w:rFonts w:ascii="Arial" w:hAnsi="Arial"/>
                <w:sz w:val="19"/>
              </w:rPr>
            </w:r>
            <w:r>
              <w:rPr>
                <w:rFonts w:ascii="Arial" w:hAnsi="Arial"/>
                <w:b/>
                <w:sz w:val="19"/>
              </w:rPr>
              <w:t xml:space="preserve">Traçabilité — </w:t>
            </w:r>
            <w:r>
              <w:rPr>
                <w:rFonts w:ascii="Arial" w:hAnsi="Arial"/>
                <w:sz w:val="19"/>
              </w:rPr>
              <w:t>Les éléments de cette fiche proviennent de pages publiques accessibles en 2026. Ils servent à caractériser l’entreprise. Les incidents, montants, clients, comptes informatiques, fournisseurs et données opérationnelles utilisés dans les autres ressources du TP sont fictifs.</w:t>
            </w:r>
          </w:p>
        </w:tc>
      </w:tr>
    </w:tbl>
    <w:p>
      <w:pPr>
        <w:pStyle w:val="Heading1"/>
      </w:pPr>
      <w:r>
        <w:t>1. Identité et activité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Le site 1083 est édité par la SAS L’ÉQUIPE 1083, située 49 avenue Gambetta à Romans-sur-Isère (Drôme), SIRET 498 845 064 00019.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 marque commercialise des vêtements et notamment des jeans fabriqués en France, via son site e-commerce, ses boutiques et un réseau de revendeurs.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Les mentions légales indiquent que le site e-commerce a été développé en interne sur Magento 2 et qu’il est hébergé en France par un prestataire.</w:t>
      </w:r>
    </w:p>
    <w:p>
      <w:pPr>
        <w:pStyle w:val="Heading1"/>
      </w:pPr>
      <w:r>
        <w:t>2. Chaîne de valeur et implantation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 fabrication d’un jean mobilise plusieurs étapes : conception, matière, filature, teinture, tissage, ennoblissement, coupe, confection et finitions.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1083 indique s’appuyer sur un réseau d’environ trente ateliers français et disposer d’activités de coupe/confection à Romans-sur-Isère et dans les Vosges.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 page consacrée à l’histoire de l’entreprise mentionne qu’en 2023 la fermeture soudaine de son principal sous-traitant de coupe a fait chuter la production, le temps de réintégrer ce savoir-faire en interne. Cet élément constitue un exemple réel de risque de dépendance fournisseur / continuité d’activité.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 marque indique disposer de cinq boutiques officielles et d’un réseau d’environ 130 revendeurs en France. L’activité combine donc B2C, e-commerce, boutiques et B2B.</w:t>
      </w:r>
    </w:p>
    <w:p>
      <w:pPr>
        <w:pStyle w:val="Heading1"/>
      </w:pPr>
      <w:r>
        <w:t>3. Positionnement environnemental et qualité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1083 met en avant une production relocalisée et une réduction des distances parcourues par rapport à un jean conventionnel.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 marque indique que ses jeans sont certifiés Origine France Garantie.</w:t>
      </w:r>
    </w:p>
    <w:p>
      <w:pPr>
        <w:pStyle w:val="ListBullet"/>
        <w:spacing w:after="40"/>
      </w:pPr>
      <w:r>
        <w:rPr>
          <w:rFonts w:ascii="Arial" w:hAnsi="Arial"/>
          <w:sz w:val="20"/>
        </w:rPr>
        <w:t>La filière mobilise notamment du coton biologique, des fibres recyclées et plusieurs partenaires spécialisés ; la traçabilité des matières, des procédés et des preuves de certification est donc un enjeu de gestion.</w:t>
      </w:r>
    </w:p>
    <w:p>
      <w:pPr>
        <w:pStyle w:val="Heading1"/>
      </w:pPr>
      <w:r>
        <w:t>4. Quelques parties prenantes à identifier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  <w:shd w:fill="0F4C5C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Partie prenante</w:t>
            </w:r>
          </w:p>
        </w:tc>
        <w:tc>
          <w:tcPr>
            <w:tcW w:type="dxa" w:w="3437"/>
            <w:vAlign w:val="center"/>
            <w:shd w:fill="0F4C5C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Relation avec la PME</w:t>
            </w:r>
          </w:p>
        </w:tc>
        <w:tc>
          <w:tcPr>
            <w:tcW w:type="dxa" w:w="3437"/>
            <w:vAlign w:val="center"/>
            <w:shd w:fill="0F4C5C"/>
          </w:tcPr>
          <w:p>
            <w:r/>
            <w:r>
              <w:rPr>
                <w:rFonts w:ascii="Arial" w:hAnsi="Arial"/>
                <w:b/>
                <w:color w:val="FFFFFF"/>
                <w:sz w:val="17"/>
              </w:rPr>
              <w:t>Exemples de risques à surveiller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Clients B2C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Site, boutiques, SAV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Données personnelles, qualité, réputation, continuité du site</w:t>
            </w:r>
          </w:p>
        </w:tc>
      </w:tr>
      <w:tr>
        <w:tc>
          <w:tcPr>
            <w:tcW w:type="dxa" w:w="3437"/>
            <w:vAlign w:val="center"/>
            <w:shd w:fill="EEF7F8"/>
          </w:tcPr>
          <w:p>
            <w:r/>
            <w:r>
              <w:rPr>
                <w:rFonts w:ascii="Arial" w:hAnsi="Arial"/>
                <w:b w:val="0"/>
                <w:sz w:val="17"/>
              </w:rPr>
              <w:t>Revendeurs B2B</w:t>
            </w:r>
          </w:p>
        </w:tc>
        <w:tc>
          <w:tcPr>
            <w:tcW w:type="dxa" w:w="3437"/>
            <w:vAlign w:val="center"/>
            <w:shd w:fill="EEF7F8"/>
          </w:tcPr>
          <w:p>
            <w:r/>
            <w:r>
              <w:rPr>
                <w:rFonts w:ascii="Arial" w:hAnsi="Arial"/>
                <w:b w:val="0"/>
                <w:sz w:val="17"/>
              </w:rPr>
              <w:t>Commandes et règlement</w:t>
            </w:r>
          </w:p>
        </w:tc>
        <w:tc>
          <w:tcPr>
            <w:tcW w:type="dxa" w:w="3437"/>
            <w:vAlign w:val="center"/>
            <w:shd w:fill="EEF7F8"/>
          </w:tcPr>
          <w:p>
            <w:r/>
            <w:r>
              <w:rPr>
                <w:rFonts w:ascii="Arial" w:hAnsi="Arial"/>
                <w:b w:val="0"/>
                <w:sz w:val="17"/>
              </w:rPr>
              <w:t>Risque client, retards de paiement, qualité de service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Ateliers / fournisseurs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Production et matières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Dépendance, qualité, délai, traçabilité, environnement</w:t>
            </w:r>
          </w:p>
        </w:tc>
      </w:tr>
      <w:tr>
        <w:tc>
          <w:tcPr>
            <w:tcW w:type="dxa" w:w="3437"/>
            <w:vAlign w:val="center"/>
            <w:shd w:fill="EEF7F8"/>
          </w:tcPr>
          <w:p>
            <w:r/>
            <w:r>
              <w:rPr>
                <w:rFonts w:ascii="Arial" w:hAnsi="Arial"/>
                <w:b w:val="0"/>
                <w:sz w:val="17"/>
              </w:rPr>
              <w:t>Salariés</w:t>
            </w:r>
          </w:p>
        </w:tc>
        <w:tc>
          <w:tcPr>
            <w:tcW w:type="dxa" w:w="3437"/>
            <w:vAlign w:val="center"/>
            <w:shd w:fill="EEF7F8"/>
          </w:tcPr>
          <w:p>
            <w:r/>
            <w:r>
              <w:rPr>
                <w:rFonts w:ascii="Arial" w:hAnsi="Arial"/>
                <w:b w:val="0"/>
                <w:sz w:val="17"/>
              </w:rPr>
              <w:t>Production, logistique, bureaux, boutiques</w:t>
            </w:r>
          </w:p>
        </w:tc>
        <w:tc>
          <w:tcPr>
            <w:tcW w:type="dxa" w:w="3437"/>
            <w:vAlign w:val="center"/>
            <w:shd w:fill="EEF7F8"/>
          </w:tcPr>
          <w:p>
            <w:r/>
            <w:r>
              <w:rPr>
                <w:rFonts w:ascii="Arial" w:hAnsi="Arial"/>
                <w:b w:val="0"/>
                <w:sz w:val="17"/>
              </w:rPr>
              <w:t>Santé-sécurité, compétences, accès aux données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Prestataires numériques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Hébergement, outils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Disponibilité, cybersécurité, sous-traitance de données</w:t>
            </w:r>
          </w:p>
        </w:tc>
      </w:tr>
      <w:tr>
        <w:tc>
          <w:tcPr>
            <w:tcW w:type="dxa" w:w="3437"/>
            <w:vAlign w:val="center"/>
            <w:shd w:fill="EEF7F8"/>
          </w:tcPr>
          <w:p>
            <w:r/>
            <w:r>
              <w:rPr>
                <w:rFonts w:ascii="Arial" w:hAnsi="Arial"/>
                <w:b w:val="0"/>
                <w:sz w:val="17"/>
              </w:rPr>
              <w:t>Organismes / autorités</w:t>
            </w:r>
          </w:p>
        </w:tc>
        <w:tc>
          <w:tcPr>
            <w:tcW w:type="dxa" w:w="3437"/>
            <w:vAlign w:val="center"/>
            <w:shd w:fill="EEF7F8"/>
          </w:tcPr>
          <w:p>
            <w:r/>
            <w:r>
              <w:rPr>
                <w:rFonts w:ascii="Arial" w:hAnsi="Arial"/>
                <w:b w:val="0"/>
                <w:sz w:val="17"/>
              </w:rPr>
              <w:t>Réglementation, certification</w:t>
            </w:r>
          </w:p>
        </w:tc>
        <w:tc>
          <w:tcPr>
            <w:tcW w:type="dxa" w:w="3437"/>
            <w:vAlign w:val="center"/>
            <w:shd w:fill="EEF7F8"/>
          </w:tcPr>
          <w:p>
            <w:r/>
            <w:r>
              <w:rPr>
                <w:rFonts w:ascii="Arial" w:hAnsi="Arial"/>
                <w:b w:val="0"/>
                <w:sz w:val="17"/>
              </w:rPr>
              <w:t>Conformité, preuve, mise à jour des pratiques</w:t>
            </w:r>
          </w:p>
        </w:tc>
      </w:tr>
    </w:tbl>
    <w:p>
      <w:pPr>
        <w:pStyle w:val="Heading1"/>
      </w:pPr>
      <w:r>
        <w:t>5. Sources publiques à consulter</w:t>
      </w:r>
    </w:p>
    <w:p>
      <w:pPr>
        <w:spacing w:after="40"/>
      </w:pPr>
      <w:r>
        <w:rPr>
          <w:b/>
          <w:sz w:val="18"/>
        </w:rPr>
        <w:t xml:space="preserve">Mentions légales: </w:t>
      </w:r>
      <w:r>
        <w:rPr>
          <w:color w:val="0050AA"/>
          <w:sz w:val="18"/>
          <w:u w:val="single"/>
        </w:rPr>
        <w:t>https://www.1083.fr/mentions-legales.html</w:t>
      </w:r>
    </w:p>
    <w:p>
      <w:pPr>
        <w:spacing w:after="40"/>
      </w:pPr>
      <w:r>
        <w:rPr>
          <w:b/>
          <w:sz w:val="18"/>
        </w:rPr>
        <w:t xml:space="preserve">Histoire de 1083: </w:t>
      </w:r>
      <w:r>
        <w:rPr>
          <w:color w:val="0050AA"/>
          <w:sz w:val="18"/>
          <w:u w:val="single"/>
        </w:rPr>
        <w:t>https://www.1083.fr/histoire-1083.html</w:t>
      </w:r>
    </w:p>
    <w:p>
      <w:pPr>
        <w:spacing w:after="40"/>
      </w:pPr>
      <w:r>
        <w:rPr>
          <w:b/>
          <w:sz w:val="18"/>
        </w:rPr>
        <w:t xml:space="preserve">Filière française: </w:t>
      </w:r>
      <w:r>
        <w:rPr>
          <w:color w:val="0050AA"/>
          <w:sz w:val="18"/>
          <w:u w:val="single"/>
        </w:rPr>
        <w:t>https://www.1083.fr/filiere-francaise.html</w:t>
      </w:r>
    </w:p>
    <w:p>
      <w:pPr>
        <w:spacing w:after="40"/>
      </w:pPr>
      <w:r>
        <w:rPr>
          <w:b/>
          <w:sz w:val="18"/>
        </w:rPr>
        <w:t xml:space="preserve">Boutiques et revendeurs: </w:t>
      </w:r>
      <w:r>
        <w:rPr>
          <w:color w:val="0050AA"/>
          <w:sz w:val="18"/>
          <w:u w:val="single"/>
        </w:rPr>
        <w:t>https://www.1083.fr/boutiques.html</w:t>
      </w:r>
    </w:p>
    <w:p>
      <w:pPr>
        <w:spacing w:after="40"/>
      </w:pPr>
      <w:r>
        <w:rPr>
          <w:b/>
          <w:sz w:val="18"/>
        </w:rPr>
        <w:t xml:space="preserve">Devenir revendeur: </w:t>
      </w:r>
      <w:r>
        <w:rPr>
          <w:color w:val="0050AA"/>
          <w:sz w:val="18"/>
          <w:u w:val="single"/>
        </w:rPr>
        <w:t>https://www.1083.fr/devenir-revendeur.html</w:t>
      </w:r>
    </w:p>
    <w:p>
      <w:pPr>
        <w:spacing w:after="40"/>
      </w:pPr>
      <w:r>
        <w:rPr>
          <w:b/>
          <w:sz w:val="18"/>
        </w:rPr>
        <w:t xml:space="preserve">Fabrication à moins de 1083 km: </w:t>
      </w:r>
      <w:r>
        <w:rPr>
          <w:color w:val="0050AA"/>
          <w:sz w:val="18"/>
          <w:u w:val="single"/>
        </w:rPr>
        <w:t>https://www.1083.fr/1083km.html</w:t>
      </w:r>
    </w:p>
    <w:p>
      <w:pPr>
        <w:spacing w:after="40"/>
      </w:pPr>
      <w:r>
        <w:rPr>
          <w:b/>
          <w:sz w:val="18"/>
        </w:rPr>
        <w:t xml:space="preserve">Certification Origine France Garantie — cahier des charges: </w:t>
      </w:r>
      <w:r>
        <w:rPr>
          <w:color w:val="0050AA"/>
          <w:sz w:val="18"/>
          <w:u w:val="single"/>
        </w:rPr>
        <w:t>https://www.originefrancegarantie.fr/cahier-des-charges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50" w:right="964" w:bottom="850" w:left="96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 xml:space="preserve">Cas pédagogique 1083 — données internes simulées — </w:t>
    </w:r>
  </w:p>
  <w:p>
    <w:pPr>
      <w:jc w:val="right"/>
    </w:pPr>
    <w:r>
      <w:rPr>
        <w:rFonts w:ascii="Arial" w:hAnsi="Arial"/>
        <w:sz w:val="16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A5A5A"/>
        <w:sz w:val="16"/>
      </w:rPr>
      <w:t>BTS GPME — Participer à la gestion des risques de la PME — R01 — Contexte public 1083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F4C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F4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F4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F4C5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signe">
    <w:name w:val="Consigne"/>
    <w:rPr>
      <w:rFonts w:ascii="Arial" w:hAnsi="Arial"/>
      <w:b/>
      <w:color w:val="173F4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