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R03 — Extrait pédagogique du DUERP et repères de prévention</w:t>
      </w:r>
    </w:p>
    <w:tbl>
      <w:tblPr>
        <w:tblW w:type="auto" w:w="0"/>
        <w:jc w:val="center"/>
        <w:tblLayout w:type="autofit"/>
        <w:tblLook w:firstColumn="1" w:firstRow="1" w:lastColumn="0" w:lastRow="0" w:noHBand="0" w:noVBand="1" w:val="04A0"/>
      </w:tblPr>
      <w:tblGrid>
        <w:gridCol w:w="10312"/>
      </w:tblGrid>
      <w:tr>
        <w:tc>
          <w:tcPr>
            <w:tcW w:type="dxa" w:w="10312"/>
            <w:shd w:fill="FFF3CD"/>
          </w:tcPr>
          <w:p>
            <w:r>
              <w:rPr>
                <w:rFonts w:ascii="Arial" w:hAnsi="Arial"/>
                <w:sz w:val="19"/>
              </w:rPr>
            </w:r>
            <w:r>
              <w:rPr>
                <w:rFonts w:ascii="Arial" w:hAnsi="Arial"/>
                <w:b/>
                <w:sz w:val="19"/>
              </w:rPr>
              <w:t xml:space="preserve">Important — </w:t>
            </w:r>
            <w:r>
              <w:rPr>
                <w:rFonts w:ascii="Arial" w:hAnsi="Arial"/>
                <w:sz w:val="19"/>
              </w:rPr>
              <w:t>Document pédagogique simulé. La grille de cotation retenue par l’entreprise dans le TP n’est pas une échelle réglementaire obligatoire : elle sert à hiérarchiser les risques.</w:t>
            </w:r>
          </w:p>
        </w:tc>
      </w:tr>
    </w:tbl>
    <w:p>
      <w:pPr>
        <w:pStyle w:val="Heading1"/>
      </w:pPr>
      <w:r>
        <w:t>1. Extrait du DUERP avant mise à jour</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vAlign w:val="center"/>
            <w:shd w:fill="0F4C5C"/>
          </w:tcPr>
          <w:p>
            <w:r/>
            <w:r>
              <w:rPr>
                <w:rFonts w:ascii="Arial" w:hAnsi="Arial"/>
                <w:b/>
                <w:color w:val="FFFFFF"/>
                <w:sz w:val="17"/>
              </w:rPr>
              <w:t>Unité de travail</w:t>
            </w:r>
          </w:p>
        </w:tc>
        <w:tc>
          <w:tcPr>
            <w:tcW w:type="dxa" w:w="2062"/>
            <w:vAlign w:val="center"/>
            <w:shd w:fill="0F4C5C"/>
          </w:tcPr>
          <w:p>
            <w:r/>
            <w:r>
              <w:rPr>
                <w:rFonts w:ascii="Arial" w:hAnsi="Arial"/>
                <w:b/>
                <w:color w:val="FFFFFF"/>
                <w:sz w:val="17"/>
              </w:rPr>
              <w:t>Danger / situation</w:t>
            </w:r>
          </w:p>
        </w:tc>
        <w:tc>
          <w:tcPr>
            <w:tcW w:type="dxa" w:w="2062"/>
            <w:vAlign w:val="center"/>
            <w:shd w:fill="0F4C5C"/>
          </w:tcPr>
          <w:p>
            <w:r/>
            <w:r>
              <w:rPr>
                <w:rFonts w:ascii="Arial" w:hAnsi="Arial"/>
                <w:b/>
                <w:color w:val="FFFFFF"/>
                <w:sz w:val="17"/>
              </w:rPr>
              <w:t>Risque identifié</w:t>
            </w:r>
          </w:p>
        </w:tc>
        <w:tc>
          <w:tcPr>
            <w:tcW w:type="dxa" w:w="2062"/>
            <w:vAlign w:val="center"/>
            <w:shd w:fill="0F4C5C"/>
          </w:tcPr>
          <w:p>
            <w:r/>
            <w:r>
              <w:rPr>
                <w:rFonts w:ascii="Arial" w:hAnsi="Arial"/>
                <w:b/>
                <w:color w:val="FFFFFF"/>
                <w:sz w:val="17"/>
              </w:rPr>
              <w:t>Mesures existantes</w:t>
            </w:r>
          </w:p>
        </w:tc>
        <w:tc>
          <w:tcPr>
            <w:tcW w:type="dxa" w:w="2062"/>
            <w:vAlign w:val="center"/>
            <w:shd w:fill="0F4C5C"/>
          </w:tcPr>
          <w:p>
            <w:r/>
            <w:r>
              <w:rPr>
                <w:rFonts w:ascii="Arial" w:hAnsi="Arial"/>
                <w:b/>
                <w:color w:val="FFFFFF"/>
                <w:sz w:val="17"/>
              </w:rPr>
              <w:t>Évaluation précédente</w:t>
            </w:r>
          </w:p>
        </w:tc>
      </w:tr>
      <w:tr>
        <w:tc>
          <w:tcPr>
            <w:tcW w:type="dxa" w:w="2062"/>
            <w:vAlign w:val="center"/>
          </w:tcPr>
          <w:p>
            <w:r/>
            <w:r>
              <w:rPr>
                <w:rFonts w:ascii="Arial" w:hAnsi="Arial"/>
                <w:b w:val="0"/>
                <w:sz w:val="17"/>
              </w:rPr>
              <w:t>Atelier coupe</w:t>
            </w:r>
          </w:p>
        </w:tc>
        <w:tc>
          <w:tcPr>
            <w:tcW w:type="dxa" w:w="2062"/>
            <w:vAlign w:val="center"/>
          </w:tcPr>
          <w:p>
            <w:r/>
            <w:r>
              <w:rPr>
                <w:rFonts w:ascii="Arial" w:hAnsi="Arial"/>
                <w:b w:val="0"/>
                <w:sz w:val="17"/>
              </w:rPr>
              <w:t>Machine de coupe et lames</w:t>
            </w:r>
          </w:p>
        </w:tc>
        <w:tc>
          <w:tcPr>
            <w:tcW w:type="dxa" w:w="2062"/>
            <w:vAlign w:val="center"/>
          </w:tcPr>
          <w:p>
            <w:r/>
            <w:r>
              <w:rPr>
                <w:rFonts w:ascii="Arial" w:hAnsi="Arial"/>
                <w:b w:val="0"/>
                <w:sz w:val="17"/>
              </w:rPr>
              <w:t>Coupure / contact avec organe dangereux</w:t>
            </w:r>
          </w:p>
        </w:tc>
        <w:tc>
          <w:tcPr>
            <w:tcW w:type="dxa" w:w="2062"/>
            <w:vAlign w:val="center"/>
          </w:tcPr>
          <w:p>
            <w:r/>
            <w:r>
              <w:rPr>
                <w:rFonts w:ascii="Arial" w:hAnsi="Arial"/>
                <w:b w:val="0"/>
                <w:sz w:val="17"/>
              </w:rPr>
              <w:t>Protecteurs, arrêt d’urgence, consignes</w:t>
            </w:r>
          </w:p>
        </w:tc>
        <w:tc>
          <w:tcPr>
            <w:tcW w:type="dxa" w:w="2062"/>
            <w:vAlign w:val="center"/>
          </w:tcPr>
          <w:p>
            <w:r/>
            <w:r>
              <w:rPr>
                <w:rFonts w:ascii="Arial" w:hAnsi="Arial"/>
                <w:b w:val="0"/>
                <w:sz w:val="17"/>
              </w:rPr>
              <w:t>P=2 ; G=4 ; score 8</w:t>
            </w:r>
          </w:p>
        </w:tc>
      </w:tr>
      <w:tr>
        <w:tc>
          <w:tcPr>
            <w:tcW w:type="dxa" w:w="2062"/>
            <w:vAlign w:val="center"/>
            <w:shd w:fill="EEF7F8"/>
          </w:tcPr>
          <w:p>
            <w:r/>
            <w:r>
              <w:rPr>
                <w:rFonts w:ascii="Arial" w:hAnsi="Arial"/>
                <w:b w:val="0"/>
                <w:sz w:val="17"/>
              </w:rPr>
              <w:t>Atelier confection</w:t>
            </w:r>
          </w:p>
        </w:tc>
        <w:tc>
          <w:tcPr>
            <w:tcW w:type="dxa" w:w="2062"/>
            <w:vAlign w:val="center"/>
            <w:shd w:fill="EEF7F8"/>
          </w:tcPr>
          <w:p>
            <w:r/>
            <w:r>
              <w:rPr>
                <w:rFonts w:ascii="Arial" w:hAnsi="Arial"/>
                <w:b w:val="0"/>
                <w:sz w:val="17"/>
              </w:rPr>
              <w:t>Gestes répétitifs et posture</w:t>
            </w:r>
          </w:p>
        </w:tc>
        <w:tc>
          <w:tcPr>
            <w:tcW w:type="dxa" w:w="2062"/>
            <w:vAlign w:val="center"/>
            <w:shd w:fill="EEF7F8"/>
          </w:tcPr>
          <w:p>
            <w:r/>
            <w:r>
              <w:rPr>
                <w:rFonts w:ascii="Arial" w:hAnsi="Arial"/>
                <w:b w:val="0"/>
                <w:sz w:val="17"/>
              </w:rPr>
              <w:t>TMS</w:t>
            </w:r>
          </w:p>
        </w:tc>
        <w:tc>
          <w:tcPr>
            <w:tcW w:type="dxa" w:w="2062"/>
            <w:vAlign w:val="center"/>
            <w:shd w:fill="EEF7F8"/>
          </w:tcPr>
          <w:p>
            <w:r/>
            <w:r>
              <w:rPr>
                <w:rFonts w:ascii="Arial" w:hAnsi="Arial"/>
                <w:b w:val="0"/>
                <w:sz w:val="17"/>
              </w:rPr>
              <w:t>Sièges réglables, pauses libres</w:t>
            </w:r>
          </w:p>
        </w:tc>
        <w:tc>
          <w:tcPr>
            <w:tcW w:type="dxa" w:w="2062"/>
            <w:vAlign w:val="center"/>
            <w:shd w:fill="EEF7F8"/>
          </w:tcPr>
          <w:p>
            <w:r/>
            <w:r>
              <w:rPr>
                <w:rFonts w:ascii="Arial" w:hAnsi="Arial"/>
                <w:b w:val="0"/>
                <w:sz w:val="17"/>
              </w:rPr>
              <w:t>P=3 ; G=2 ; score 6</w:t>
            </w:r>
          </w:p>
        </w:tc>
      </w:tr>
      <w:tr>
        <w:tc>
          <w:tcPr>
            <w:tcW w:type="dxa" w:w="2062"/>
            <w:vAlign w:val="center"/>
          </w:tcPr>
          <w:p>
            <w:r/>
            <w:r>
              <w:rPr>
                <w:rFonts w:ascii="Arial" w:hAnsi="Arial"/>
                <w:b w:val="0"/>
                <w:sz w:val="17"/>
              </w:rPr>
              <w:t>Réception / stock</w:t>
            </w:r>
          </w:p>
        </w:tc>
        <w:tc>
          <w:tcPr>
            <w:tcW w:type="dxa" w:w="2062"/>
            <w:vAlign w:val="center"/>
          </w:tcPr>
          <w:p>
            <w:r/>
            <w:r>
              <w:rPr>
                <w:rFonts w:ascii="Arial" w:hAnsi="Arial"/>
                <w:b w:val="0"/>
                <w:sz w:val="17"/>
              </w:rPr>
              <w:t>Manutention et circulation</w:t>
            </w:r>
          </w:p>
        </w:tc>
        <w:tc>
          <w:tcPr>
            <w:tcW w:type="dxa" w:w="2062"/>
            <w:vAlign w:val="center"/>
          </w:tcPr>
          <w:p>
            <w:r/>
            <w:r>
              <w:rPr>
                <w:rFonts w:ascii="Arial" w:hAnsi="Arial"/>
                <w:b w:val="0"/>
                <w:sz w:val="17"/>
              </w:rPr>
              <w:t>TMS, heurt, chute d’objet</w:t>
            </w:r>
          </w:p>
        </w:tc>
        <w:tc>
          <w:tcPr>
            <w:tcW w:type="dxa" w:w="2062"/>
            <w:vAlign w:val="center"/>
          </w:tcPr>
          <w:p>
            <w:r/>
            <w:r>
              <w:rPr>
                <w:rFonts w:ascii="Arial" w:hAnsi="Arial"/>
                <w:b w:val="0"/>
                <w:sz w:val="17"/>
              </w:rPr>
              <w:t>Chariots, marquage partiel</w:t>
            </w:r>
          </w:p>
        </w:tc>
        <w:tc>
          <w:tcPr>
            <w:tcW w:type="dxa" w:w="2062"/>
            <w:vAlign w:val="center"/>
          </w:tcPr>
          <w:p>
            <w:r/>
            <w:r>
              <w:rPr>
                <w:rFonts w:ascii="Arial" w:hAnsi="Arial"/>
                <w:b w:val="0"/>
                <w:sz w:val="17"/>
              </w:rPr>
              <w:t>P=2 ; G=3 ; score 6</w:t>
            </w:r>
          </w:p>
        </w:tc>
      </w:tr>
      <w:tr>
        <w:tc>
          <w:tcPr>
            <w:tcW w:type="dxa" w:w="2062"/>
            <w:vAlign w:val="center"/>
            <w:shd w:fill="EEF7F8"/>
          </w:tcPr>
          <w:p>
            <w:r/>
            <w:r>
              <w:rPr>
                <w:rFonts w:ascii="Arial" w:hAnsi="Arial"/>
                <w:b w:val="0"/>
                <w:sz w:val="17"/>
              </w:rPr>
              <w:t>E-commerce / préparation</w:t>
            </w:r>
          </w:p>
        </w:tc>
        <w:tc>
          <w:tcPr>
            <w:tcW w:type="dxa" w:w="2062"/>
            <w:vAlign w:val="center"/>
            <w:shd w:fill="EEF7F8"/>
          </w:tcPr>
          <w:p>
            <w:r/>
            <w:r>
              <w:rPr>
                <w:rFonts w:ascii="Arial" w:hAnsi="Arial"/>
                <w:b w:val="0"/>
                <w:sz w:val="17"/>
              </w:rPr>
              <w:t>Picking, bacs, table fixe</w:t>
            </w:r>
          </w:p>
        </w:tc>
        <w:tc>
          <w:tcPr>
            <w:tcW w:type="dxa" w:w="2062"/>
            <w:vAlign w:val="center"/>
            <w:shd w:fill="EEF7F8"/>
          </w:tcPr>
          <w:p>
            <w:r/>
            <w:r>
              <w:rPr>
                <w:rFonts w:ascii="Arial" w:hAnsi="Arial"/>
                <w:b w:val="0"/>
                <w:sz w:val="17"/>
              </w:rPr>
              <w:t>TMS, chute</w:t>
            </w:r>
          </w:p>
        </w:tc>
        <w:tc>
          <w:tcPr>
            <w:tcW w:type="dxa" w:w="2062"/>
            <w:vAlign w:val="center"/>
            <w:shd w:fill="EEF7F8"/>
          </w:tcPr>
          <w:p>
            <w:r/>
            <w:r>
              <w:rPr>
                <w:rFonts w:ascii="Arial" w:hAnsi="Arial"/>
                <w:b w:val="0"/>
                <w:sz w:val="17"/>
              </w:rPr>
              <w:t>Organisation 5S en cours</w:t>
            </w:r>
          </w:p>
        </w:tc>
        <w:tc>
          <w:tcPr>
            <w:tcW w:type="dxa" w:w="2062"/>
            <w:vAlign w:val="center"/>
            <w:shd w:fill="EEF7F8"/>
          </w:tcPr>
          <w:p>
            <w:r/>
            <w:r>
              <w:rPr>
                <w:rFonts w:ascii="Arial" w:hAnsi="Arial"/>
                <w:b w:val="0"/>
                <w:sz w:val="17"/>
              </w:rPr>
              <w:t>P=2 ; G=2 ; score 4</w:t>
            </w:r>
          </w:p>
        </w:tc>
      </w:tr>
      <w:tr>
        <w:tc>
          <w:tcPr>
            <w:tcW w:type="dxa" w:w="2062"/>
            <w:vAlign w:val="center"/>
          </w:tcPr>
          <w:p>
            <w:r/>
            <w:r>
              <w:rPr>
                <w:rFonts w:ascii="Arial" w:hAnsi="Arial"/>
                <w:b w:val="0"/>
                <w:sz w:val="17"/>
              </w:rPr>
              <w:t>Boutique</w:t>
            </w:r>
          </w:p>
        </w:tc>
        <w:tc>
          <w:tcPr>
            <w:tcW w:type="dxa" w:w="2062"/>
            <w:vAlign w:val="center"/>
          </w:tcPr>
          <w:p>
            <w:r/>
            <w:r>
              <w:rPr>
                <w:rFonts w:ascii="Arial" w:hAnsi="Arial"/>
                <w:b w:val="0"/>
                <w:sz w:val="17"/>
              </w:rPr>
              <w:t>Sol, réserve, mise en rayon</w:t>
            </w:r>
          </w:p>
        </w:tc>
        <w:tc>
          <w:tcPr>
            <w:tcW w:type="dxa" w:w="2062"/>
            <w:vAlign w:val="center"/>
          </w:tcPr>
          <w:p>
            <w:r/>
            <w:r>
              <w:rPr>
                <w:rFonts w:ascii="Arial" w:hAnsi="Arial"/>
                <w:b w:val="0"/>
                <w:sz w:val="17"/>
              </w:rPr>
              <w:t>Chute plain-pied / hauteur</w:t>
            </w:r>
          </w:p>
        </w:tc>
        <w:tc>
          <w:tcPr>
            <w:tcW w:type="dxa" w:w="2062"/>
            <w:vAlign w:val="center"/>
          </w:tcPr>
          <w:p>
            <w:r/>
            <w:r>
              <w:rPr>
                <w:rFonts w:ascii="Arial" w:hAnsi="Arial"/>
                <w:b w:val="0"/>
                <w:sz w:val="17"/>
              </w:rPr>
              <w:t>Tapis, escabeau</w:t>
            </w:r>
          </w:p>
        </w:tc>
        <w:tc>
          <w:tcPr>
            <w:tcW w:type="dxa" w:w="2062"/>
            <w:vAlign w:val="center"/>
          </w:tcPr>
          <w:p>
            <w:r/>
            <w:r>
              <w:rPr>
                <w:rFonts w:ascii="Arial" w:hAnsi="Arial"/>
                <w:b w:val="0"/>
                <w:sz w:val="17"/>
              </w:rPr>
              <w:t>P=1 ; G=3 ; score 3</w:t>
            </w:r>
          </w:p>
        </w:tc>
      </w:tr>
    </w:tbl>
    <w:p>
      <w:pPr>
        <w:pStyle w:val="Heading1"/>
      </w:pPr>
      <w:r>
        <w:t>2. Règles de cotation utilisées dans le TP</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0F4C5C"/>
          </w:tcPr>
          <w:p>
            <w:r/>
            <w:r>
              <w:rPr>
                <w:rFonts w:ascii="Arial" w:hAnsi="Arial"/>
                <w:b/>
                <w:color w:val="FFFFFF"/>
                <w:sz w:val="18"/>
              </w:rPr>
              <w:t>Niveau</w:t>
            </w:r>
          </w:p>
        </w:tc>
        <w:tc>
          <w:tcPr>
            <w:tcW w:type="dxa" w:w="3437"/>
            <w:vAlign w:val="center"/>
            <w:shd w:fill="0F4C5C"/>
          </w:tcPr>
          <w:p>
            <w:r>
              <w:t>Probabilité du dommage (à justifier)</w:t>
            </w:r>
          </w:p>
        </w:tc>
        <w:tc>
          <w:tcPr>
            <w:tcW w:type="dxa" w:w="3437"/>
            <w:vAlign w:val="center"/>
            <w:shd w:fill="0F4C5C"/>
          </w:tcPr>
          <w:p>
            <w:r/>
            <w:r>
              <w:rPr>
                <w:rFonts w:ascii="Arial" w:hAnsi="Arial"/>
                <w:b/>
                <w:color w:val="FFFFFF"/>
                <w:sz w:val="18"/>
              </w:rPr>
              <w:t>Gravité potentielle</w:t>
            </w:r>
          </w:p>
        </w:tc>
      </w:tr>
      <w:tr>
        <w:tc>
          <w:tcPr>
            <w:tcW w:type="dxa" w:w="3437"/>
            <w:vAlign w:val="center"/>
          </w:tcPr>
          <w:p>
            <w:r/>
            <w:r>
              <w:rPr>
                <w:rFonts w:ascii="Arial" w:hAnsi="Arial"/>
                <w:b w:val="0"/>
                <w:sz w:val="18"/>
              </w:rPr>
              <w:t>1</w:t>
            </w:r>
          </w:p>
        </w:tc>
        <w:tc>
          <w:tcPr>
            <w:tcW w:type="dxa" w:w="3437"/>
            <w:vAlign w:val="center"/>
          </w:tcPr>
          <w:p>
            <w:r>
              <w:t>Faible</w:t>
            </w:r>
          </w:p>
        </w:tc>
        <w:tc>
          <w:tcPr>
            <w:tcW w:type="dxa" w:w="3437"/>
            <w:vAlign w:val="center"/>
          </w:tcPr>
          <w:p>
            <w:r/>
            <w:r>
              <w:rPr>
                <w:rFonts w:ascii="Arial" w:hAnsi="Arial"/>
                <w:b w:val="0"/>
                <w:sz w:val="18"/>
              </w:rPr>
              <w:t>Gêne ou dommage réversible sans arrêt</w:t>
            </w:r>
          </w:p>
        </w:tc>
      </w:tr>
      <w:tr>
        <w:tc>
          <w:tcPr>
            <w:tcW w:type="dxa" w:w="3437"/>
            <w:vAlign w:val="center"/>
            <w:shd w:fill="EEF7F8"/>
          </w:tcPr>
          <w:p>
            <w:r/>
            <w:r>
              <w:rPr>
                <w:rFonts w:ascii="Arial" w:hAnsi="Arial"/>
                <w:b w:val="0"/>
                <w:sz w:val="18"/>
              </w:rPr>
              <w:t>2</w:t>
            </w:r>
          </w:p>
        </w:tc>
        <w:tc>
          <w:tcPr>
            <w:tcW w:type="dxa" w:w="3437"/>
            <w:vAlign w:val="center"/>
            <w:shd w:fill="EEF7F8"/>
          </w:tcPr>
          <w:p>
            <w:r>
              <w:t>Possible</w:t>
            </w:r>
          </w:p>
        </w:tc>
        <w:tc>
          <w:tcPr>
            <w:tcW w:type="dxa" w:w="3437"/>
            <w:vAlign w:val="center"/>
            <w:shd w:fill="EEF7F8"/>
          </w:tcPr>
          <w:p>
            <w:r/>
            <w:r>
              <w:rPr>
                <w:rFonts w:ascii="Arial" w:hAnsi="Arial"/>
                <w:b w:val="0"/>
                <w:sz w:val="18"/>
              </w:rPr>
              <w:t>Dommage avec soins ou arrêt court</w:t>
            </w:r>
          </w:p>
        </w:tc>
      </w:tr>
      <w:tr>
        <w:tc>
          <w:tcPr>
            <w:tcW w:type="dxa" w:w="3437"/>
            <w:vAlign w:val="center"/>
          </w:tcPr>
          <w:p>
            <w:r/>
            <w:r>
              <w:rPr>
                <w:rFonts w:ascii="Arial" w:hAnsi="Arial"/>
                <w:b w:val="0"/>
                <w:sz w:val="18"/>
              </w:rPr>
              <w:t>3</w:t>
            </w:r>
          </w:p>
        </w:tc>
        <w:tc>
          <w:tcPr>
            <w:tcW w:type="dxa" w:w="3437"/>
            <w:vAlign w:val="center"/>
          </w:tcPr>
          <w:p>
            <w:r>
              <w:t>Probable</w:t>
            </w:r>
          </w:p>
        </w:tc>
        <w:tc>
          <w:tcPr>
            <w:tcW w:type="dxa" w:w="3437"/>
            <w:vAlign w:val="center"/>
          </w:tcPr>
          <w:p>
            <w:r/>
            <w:r>
              <w:rPr>
                <w:rFonts w:ascii="Arial" w:hAnsi="Arial"/>
                <w:b w:val="0"/>
                <w:sz w:val="18"/>
              </w:rPr>
              <w:t>Dommage sérieux / arrêt significatif</w:t>
            </w:r>
          </w:p>
        </w:tc>
      </w:tr>
      <w:tr>
        <w:tc>
          <w:tcPr>
            <w:tcW w:type="dxa" w:w="3437"/>
            <w:vAlign w:val="center"/>
            <w:shd w:fill="EEF7F8"/>
          </w:tcPr>
          <w:p>
            <w:r/>
            <w:r>
              <w:rPr>
                <w:rFonts w:ascii="Arial" w:hAnsi="Arial"/>
                <w:b w:val="0"/>
                <w:sz w:val="18"/>
              </w:rPr>
              <w:t>4</w:t>
            </w:r>
          </w:p>
        </w:tc>
        <w:tc>
          <w:tcPr>
            <w:tcW w:type="dxa" w:w="3437"/>
            <w:vAlign w:val="center"/>
            <w:shd w:fill="EEF7F8"/>
          </w:tcPr>
          <w:p>
            <w:r>
              <w:t>Très probable</w:t>
            </w:r>
          </w:p>
        </w:tc>
        <w:tc>
          <w:tcPr>
            <w:tcW w:type="dxa" w:w="3437"/>
            <w:vAlign w:val="center"/>
            <w:shd w:fill="EEF7F8"/>
          </w:tcPr>
          <w:p>
            <w:r/>
            <w:r>
              <w:rPr>
                <w:rFonts w:ascii="Arial" w:hAnsi="Arial"/>
                <w:b w:val="0"/>
                <w:sz w:val="18"/>
              </w:rPr>
              <w:t>Dommage grave, incapacité ou risque vital</w:t>
            </w:r>
          </w:p>
        </w:tc>
      </w:tr>
    </w:tbl>
    <w:tbl>
      <w:tblPr>
        <w:tblW w:type="auto" w:w="0"/>
        <w:jc w:val="center"/>
        <w:tblLayout w:type="autofit"/>
        <w:tblLook w:firstColumn="1" w:firstRow="1" w:lastColumn="0" w:lastRow="0" w:noHBand="0" w:noVBand="1" w:val="04A0"/>
      </w:tblPr>
      <w:tblGrid>
        <w:gridCol w:w="10312"/>
      </w:tblGrid>
      <w:tr>
        <w:tc>
          <w:tcPr>
            <w:tcW w:type="dxa" w:w="10312"/>
            <w:shd w:fill="E7F3E8"/>
          </w:tcPr>
          <w:p>
            <w:r>
              <w:t>Méthode — Score brut = P × G. Lecture retenue : 1-3 faible ; 4-7 à traiter ; 8-16 prioritaire. La probabilité P est un jugement argumenté après examen de la fréquence d’exposition, des conditions de travail, des événements observés et des mesures existantes. La fréquence d’exposition est une donnée d’entrée : exposition quotidienne ≠ automatiquement P4. L’étudiant doit justifier son choix et ne pas calculer mécaniquement à partir du seul nombre d’incidents.</w:t>
            </w:r>
          </w:p>
        </w:tc>
      </w:tr>
    </w:tbl>
    <w:p>
      <w:pPr>
        <w:pStyle w:val="Heading1"/>
      </w:pPr>
      <w:r>
        <w:t>3. Hiérarchie pratique des actions à discuter</w:t>
      </w:r>
    </w:p>
    <w:p>
      <w:pPr>
        <w:pStyle w:val="ListBullet"/>
        <w:spacing w:after="40"/>
      </w:pPr>
      <w:r>
        <w:rPr>
          <w:rFonts w:ascii="Arial" w:hAnsi="Arial"/>
          <w:sz w:val="20"/>
        </w:rPr>
        <w:t>Supprimer le danger ou éviter l’exposition lorsqu’une solution réaliste existe.</w:t>
      </w:r>
    </w:p>
    <w:p>
      <w:pPr>
        <w:pStyle w:val="ListBullet"/>
        <w:spacing w:after="40"/>
      </w:pPr>
      <w:r>
        <w:rPr>
          <w:rFonts w:ascii="Arial" w:hAnsi="Arial"/>
          <w:sz w:val="20"/>
        </w:rPr>
        <w:t>Privilégier la protection collective et l’aménagement de l’organisation avant de compter uniquement sur un équipement individuel.</w:t>
      </w:r>
    </w:p>
    <w:p>
      <w:pPr>
        <w:pStyle w:val="ListBullet"/>
        <w:spacing w:after="40"/>
      </w:pPr>
      <w:r>
        <w:rPr>
          <w:rFonts w:ascii="Arial" w:hAnsi="Arial"/>
          <w:sz w:val="20"/>
        </w:rPr>
        <w:t>Définir un responsable, un délai et une preuve de réalisation pour chaque action.</w:t>
      </w:r>
    </w:p>
    <w:p>
      <w:pPr>
        <w:pStyle w:val="ListBullet"/>
        <w:spacing w:after="40"/>
      </w:pPr>
      <w:r>
        <w:rPr>
          <w:rFonts w:ascii="Arial" w:hAnsi="Arial"/>
          <w:sz w:val="20"/>
        </w:rPr>
        <w:t>Vérifier l’efficacité : une action réalisée n’est pas nécessairement une action efficace.</w:t>
      </w:r>
    </w:p>
    <w:p>
      <w:pPr>
        <w:pStyle w:val="Heading1"/>
      </w:pPr>
      <w:r>
        <w:t>4. Point de droit à rechercher</w:t>
      </w:r>
    </w:p>
    <w:p>
      <w:r>
        <w:rPr>
          <w:sz w:val="19"/>
        </w:rPr>
        <w:t>Le ministère du Travail rappelle que le DUERP doit recenser les risques professionnels et être mis à jour notamment lors d’un aménagement important, lorsqu’une information nouvelle sur un risque est connue, et au moins chaque année dans les entreprises d’au moins 11 salariés. Les versions du DUERP doivent être conservées 40 ans.</w:t>
      </w:r>
    </w:p>
    <w:p>
      <w:pPr>
        <w:spacing w:after="40"/>
      </w:pPr>
      <w:r>
        <w:rPr>
          <w:b/>
          <w:sz w:val="18"/>
        </w:rPr>
        <w:t xml:space="preserve">Source officielle — Ministère du Travail: </w:t>
      </w:r>
      <w:r>
        <w:rPr>
          <w:color w:val="0050AA"/>
          <w:sz w:val="18"/>
          <w:u w:val="single"/>
        </w:rPr>
        <w:t>https://travail-emploi.gouv.fr/le-document-unique-devaluation-des-risques-professionnels-duerp</w:t>
      </w:r>
    </w:p>
    <w:sectPr w:rsidR="00FC693F" w:rsidRPr="0006063C" w:rsidSect="00034616">
      <w:headerReference w:type="default" r:id="rId9"/>
      <w:footerReference w:type="default" r:id="rId10"/>
      <w:pgSz w:w="12240" w:h="15840"/>
      <w:pgMar w:top="850" w:right="964" w:bottom="850"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 xml:space="preserve">Cas pédagogique 1083 — données internes simulées — </w:t>
    </w:r>
  </w:p>
  <w:p>
    <w:pPr>
      <w:jc w:val="right"/>
    </w:pPr>
    <w:r>
      <w:rPr>
        <w:rFonts w:ascii="Arial" w:hAnsi="Arial"/>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BTS GPME — Participer à la gestion des risques de la PME — R03 — DUERP et prévention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4C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F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4C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signe">
    <w:name w:val="Consigne"/>
    <w:rPr>
      <w:rFonts w:ascii="Arial" w:hAnsi="Arial"/>
      <w:b/>
      <w:color w:val="173F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