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R04 — Dossier d’incident cyber et données personnelles</w:t>
      </w:r>
    </w:p>
    <w:tbl>
      <w:tblPr>
        <w:tblW w:type="auto" w:w="0"/>
        <w:jc w:val="center"/>
        <w:tblLayout w:type="autofit"/>
        <w:tblLook w:firstColumn="1" w:firstRow="1" w:lastColumn="0" w:lastRow="0" w:noHBand="0" w:noVBand="1" w:val="04A0"/>
      </w:tblPr>
      <w:tblGrid>
        <w:gridCol w:w="10312"/>
      </w:tblGrid>
      <w:tr>
        <w:tc>
          <w:tcPr>
            <w:tcW w:type="dxa" w:w="10312"/>
            <w:shd w:fill="FFF3CD"/>
          </w:tcPr>
          <w:p>
            <w:r>
              <w:rPr>
                <w:rFonts w:ascii="Arial" w:hAnsi="Arial"/>
                <w:sz w:val="19"/>
              </w:rPr>
            </w:r>
            <w:r>
              <w:rPr>
                <w:rFonts w:ascii="Arial" w:hAnsi="Arial"/>
                <w:b/>
                <w:sz w:val="19"/>
              </w:rPr>
              <w:t xml:space="preserve">Scénario — </w:t>
            </w:r>
            <w:r>
              <w:rPr>
                <w:rFonts w:ascii="Arial" w:hAnsi="Arial"/>
                <w:sz w:val="19"/>
              </w:rPr>
              <w:t>Tous les événements ci-dessous sont fictifs. Ils n’indiquent pas qu’un incident réel a concerné 1083. Le TP vise à apprendre à qualifier un incident, alerter et documenter sans tirer de conclusion avant vérification.</w:t>
            </w:r>
          </w:p>
        </w:tc>
      </w:tr>
    </w:tbl>
    <w:p>
      <w:pPr>
        <w:pStyle w:val="Heading1"/>
      </w:pPr>
      <w:r>
        <w:t>1. Courriel reçu par le service clients</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DDEFF2"/>
          </w:tcPr>
          <w:p>
            <w:r/>
            <w:r>
              <w:rPr>
                <w:rFonts w:ascii="Arial" w:hAnsi="Arial"/>
                <w:b/>
                <w:color w:val="173F45"/>
                <w:sz w:val="18"/>
              </w:rPr>
              <w:t>De</w:t>
            </w:r>
          </w:p>
        </w:tc>
        <w:tc>
          <w:tcPr>
            <w:tcW w:type="dxa" w:w="5156"/>
            <w:vAlign w:val="center"/>
          </w:tcPr>
          <w:p>
            <w:r/>
            <w:r>
              <w:rPr>
                <w:rFonts w:ascii="Arial" w:hAnsi="Arial"/>
                <w:b w:val="0"/>
                <w:sz w:val="18"/>
              </w:rPr>
              <w:t>Livraisons Express &lt;suivi-colis@service-livraison-exemple.com&gt;</w:t>
            </w:r>
          </w:p>
        </w:tc>
      </w:tr>
      <w:tr>
        <w:tc>
          <w:tcPr>
            <w:tcW w:type="dxa" w:w="5156"/>
            <w:vAlign w:val="center"/>
            <w:shd w:fill="DDEFF2"/>
          </w:tcPr>
          <w:p>
            <w:r/>
            <w:r>
              <w:rPr>
                <w:rFonts w:ascii="Arial" w:hAnsi="Arial"/>
                <w:b/>
                <w:color w:val="173F45"/>
                <w:sz w:val="18"/>
              </w:rPr>
              <w:t>Objet</w:t>
            </w:r>
          </w:p>
        </w:tc>
        <w:tc>
          <w:tcPr>
            <w:tcW w:type="dxa" w:w="5156"/>
            <w:vAlign w:val="center"/>
          </w:tcPr>
          <w:p>
            <w:r/>
            <w:r>
              <w:rPr>
                <w:rFonts w:ascii="Arial" w:hAnsi="Arial"/>
                <w:b w:val="0"/>
                <w:sz w:val="18"/>
              </w:rPr>
              <w:t>Action requise : suspension de vos expéditions</w:t>
            </w:r>
          </w:p>
        </w:tc>
      </w:tr>
      <w:tr>
        <w:tc>
          <w:tcPr>
            <w:tcW w:type="dxa" w:w="5156"/>
            <w:vAlign w:val="center"/>
            <w:shd w:fill="DDEFF2"/>
          </w:tcPr>
          <w:p>
            <w:r/>
            <w:r>
              <w:rPr>
                <w:rFonts w:ascii="Arial" w:hAnsi="Arial"/>
                <w:b/>
                <w:color w:val="173F45"/>
                <w:sz w:val="18"/>
              </w:rPr>
              <w:t>À</w:t>
            </w:r>
          </w:p>
        </w:tc>
        <w:tc>
          <w:tcPr>
            <w:tcW w:type="dxa" w:w="5156"/>
            <w:vAlign w:val="center"/>
          </w:tcPr>
          <w:p>
            <w:r/>
            <w:r>
              <w:rPr>
                <w:rFonts w:ascii="Arial" w:hAnsi="Arial"/>
                <w:b w:val="0"/>
                <w:sz w:val="18"/>
              </w:rPr>
              <w:t>service.clients@entreprise-exemple.fr</w:t>
            </w:r>
          </w:p>
        </w:tc>
      </w:tr>
      <w:tr>
        <w:tc>
          <w:tcPr>
            <w:tcW w:type="dxa" w:w="5156"/>
            <w:vAlign w:val="center"/>
            <w:shd w:fill="DDEFF2"/>
          </w:tcPr>
          <w:p>
            <w:r/>
            <w:r>
              <w:rPr>
                <w:rFonts w:ascii="Arial" w:hAnsi="Arial"/>
                <w:b/>
                <w:color w:val="173F45"/>
                <w:sz w:val="18"/>
              </w:rPr>
              <w:t>Message</w:t>
            </w:r>
          </w:p>
        </w:tc>
        <w:tc>
          <w:tcPr>
            <w:tcW w:type="dxa" w:w="5156"/>
            <w:vAlign w:val="center"/>
          </w:tcPr>
          <w:p>
            <w:r/>
            <w:r>
              <w:rPr>
                <w:rFonts w:ascii="Arial" w:hAnsi="Arial"/>
                <w:b w:val="0"/>
                <w:sz w:val="18"/>
              </w:rPr>
              <w:t>Une anomalie bloque les expéditions. Revalidez votre accès professionnel avant 09 h 00 en utilisant le bouton contenu dans le message.</w:t>
            </w:r>
          </w:p>
        </w:tc>
      </w:tr>
      <w:tr>
        <w:tc>
          <w:tcPr>
            <w:tcW w:type="dxa" w:w="5156"/>
            <w:vAlign w:val="center"/>
            <w:shd w:fill="DDEFF2"/>
          </w:tcPr>
          <w:p>
            <w:r/>
            <w:r>
              <w:rPr>
                <w:rFonts w:ascii="Arial" w:hAnsi="Arial"/>
                <w:b/>
                <w:color w:val="173F45"/>
                <w:sz w:val="18"/>
              </w:rPr>
              <w:t>Pièce / lien</w:t>
            </w:r>
          </w:p>
        </w:tc>
        <w:tc>
          <w:tcPr>
            <w:tcW w:type="dxa" w:w="5156"/>
            <w:vAlign w:val="center"/>
          </w:tcPr>
          <w:p>
            <w:r/>
            <w:r>
              <w:rPr>
                <w:rFonts w:ascii="Arial" w:hAnsi="Arial"/>
                <w:b w:val="0"/>
                <w:sz w:val="18"/>
              </w:rPr>
              <w:t>Lien externe vers une page imitant un portail de connexion.</w:t>
            </w:r>
          </w:p>
        </w:tc>
      </w:tr>
    </w:tbl>
    <w:p>
      <w:pPr>
        <w:pStyle w:val="Heading1"/>
      </w:pPr>
      <w:r>
        <w:t>2. Message interne de la responsable e-commerce</w:t>
      </w:r>
    </w:p>
    <w:p>
      <w:r>
        <w:t>De : Responsable e-commerce (personnage fictif)</w:t>
        <w:br/>
        <w:t>À : Assistant(e) de gestion</w:t>
        <w:br/>
        <w:t>Objet : Besoin d’une note de situation et d’un plan immédiat</w:t>
        <w:br/>
        <w:br/>
        <w:t>Nous avons désactivé le compte concerné et demandé les journaux au prestataire. Distinguez les faits confirmés, les hypothèses et les informations manquantes. Dans ce TP, vous ne contactez pas vous-même la CNIL ni les personnes concernées : préparez immédiatement la qualification et l’alerte au responsable afin que les obligations éventuelles soient traitées dans les délais.</w:t>
      </w:r>
    </w:p>
    <w:p>
      <w:pPr>
        <w:pStyle w:val="Heading1"/>
      </w:pPr>
      <w:r>
        <w:t>3. Questions de qualification à se poser</w:t>
      </w:r>
    </w:p>
    <w:p>
      <w:pPr>
        <w:pStyle w:val="ListBullet"/>
        <w:spacing w:after="40"/>
      </w:pPr>
      <w:r>
        <w:rPr>
          <w:rFonts w:ascii="Arial" w:hAnsi="Arial"/>
          <w:sz w:val="20"/>
        </w:rPr>
        <w:t>Quelles données ont effectivement été consultées, copiées, altérées ou rendues indisponibles ?</w:t>
      </w:r>
    </w:p>
    <w:p>
      <w:pPr>
        <w:pStyle w:val="ListBullet"/>
        <w:spacing w:after="40"/>
      </w:pPr>
      <w:r>
        <w:rPr>
          <w:rFonts w:ascii="Arial" w:hAnsi="Arial"/>
          <w:sz w:val="20"/>
        </w:rPr>
        <w:t>Quelles personnes sont concernées et combien ?</w:t>
      </w:r>
    </w:p>
    <w:p>
      <w:pPr>
        <w:pStyle w:val="ListBullet"/>
        <w:spacing w:after="40"/>
      </w:pPr>
      <w:r>
        <w:rPr>
          <w:rFonts w:ascii="Arial" w:hAnsi="Arial"/>
          <w:sz w:val="20"/>
        </w:rPr>
        <w:t>Les données exposées peuvent-elles entraîner usurpation, fraude, atteinte à la confidentialité ou autre préjudice ?</w:t>
      </w:r>
    </w:p>
    <w:p>
      <w:pPr>
        <w:pStyle w:val="ListBullet"/>
        <w:spacing w:after="40"/>
      </w:pPr>
      <w:r>
        <w:rPr>
          <w:rFonts w:ascii="Arial" w:hAnsi="Arial"/>
          <w:sz w:val="20"/>
        </w:rPr>
        <w:t>L’accès compromis permettait-il d’atteindre d’autres applications ?</w:t>
      </w:r>
    </w:p>
    <w:p>
      <w:pPr>
        <w:pStyle w:val="ListBullet"/>
        <w:spacing w:after="40"/>
      </w:pPr>
      <w:r>
        <w:rPr>
          <w:rFonts w:ascii="Arial" w:hAnsi="Arial"/>
          <w:sz w:val="20"/>
        </w:rPr>
        <w:t>Quelles mesures ont limité l’incident et quelles preuves doivent être conservées ?</w:t>
      </w:r>
    </w:p>
    <w:p>
      <w:pPr>
        <w:pStyle w:val="Heading1"/>
      </w:pPr>
      <w:r>
        <w:t>4. Repères officiels à mobiliser</w:t>
      </w:r>
    </w:p>
    <w:p>
      <w:pPr>
        <w:pStyle w:val="ListBullet"/>
        <w:spacing w:after="40"/>
      </w:pPr>
      <w:r>
        <w:t>CNIL : toute violation de données doit être documentée en interne. Si elle présente un risque pour les droits et libertés, le responsable du traitement notifie la CNIL au plus tôt et dans un délai maximal de 72 heures après en avoir pris connaissance. Une notification initiale peut être complétée ensuite. En cas de risque élevé, les personnes concernées sont également informées au plus tôt, sous réserve des cas particuliers prévus par le RGPD.</w:t>
      </w:r>
    </w:p>
    <w:p>
      <w:pPr>
        <w:pStyle w:val="ListBullet"/>
        <w:spacing w:after="40"/>
      </w:pPr>
      <w:r>
        <w:rPr>
          <w:rFonts w:ascii="Arial" w:hAnsi="Arial"/>
          <w:sz w:val="20"/>
        </w:rPr>
        <w:t>ANSSI / MesServicesCyber : les TPE/PME doivent notamment sécuriser leur messagerie, activer l’authentification multifacteur lorsque possible et tester leurs sauvegardes. Le guide rappelle la règle de sauvegarde 3-2-1 : trois copies, sur deux supports différents, dont une hors ligne.</w:t>
      </w:r>
    </w:p>
    <w:p>
      <w:pPr>
        <w:spacing w:after="40"/>
      </w:pPr>
      <w:r>
        <w:rPr>
          <w:b/>
          <w:sz w:val="18"/>
        </w:rPr>
        <w:t xml:space="preserve">CNIL — violations de données: </w:t>
      </w:r>
      <w:r>
        <w:rPr>
          <w:color w:val="0050AA"/>
          <w:sz w:val="18"/>
          <w:u w:val="single"/>
        </w:rPr>
        <w:t>https://www.cnil.fr/fr/violations-de-donnees-personnelles-les-regles-suivre</w:t>
      </w:r>
    </w:p>
    <w:p>
      <w:pPr>
        <w:spacing w:after="40"/>
      </w:pPr>
      <w:r>
        <w:rPr>
          <w:b/>
          <w:sz w:val="18"/>
        </w:rPr>
        <w:t xml:space="preserve">CNIL — notifier une violation: </w:t>
      </w:r>
      <w:r>
        <w:rPr>
          <w:color w:val="0050AA"/>
          <w:sz w:val="18"/>
          <w:u w:val="single"/>
        </w:rPr>
        <w:t>https://www.cnil.fr/fr/services-en-ligne/notifier-une-violation-de-donnees-personnelles</w:t>
      </w:r>
    </w:p>
    <w:p>
      <w:pPr>
        <w:spacing w:after="40"/>
      </w:pPr>
      <w:r>
        <w:rPr>
          <w:b/>
          <w:sz w:val="18"/>
        </w:rPr>
        <w:t xml:space="preserve">ANSSI — cybersécurité pour les TPE/PME: </w:t>
      </w:r>
      <w:r>
        <w:rPr>
          <w:color w:val="0050AA"/>
          <w:sz w:val="18"/>
          <w:u w:val="single"/>
        </w:rPr>
        <w:t>https://messervices.cyber.gouv.fr/guides/la-cybersecurite-pour-les-tpepme-en-treize-questions</w:t>
      </w:r>
    </w:p>
    <w:sectPr w:rsidR="00FC693F" w:rsidRPr="0006063C" w:rsidSect="00034616">
      <w:headerReference w:type="default" r:id="rId9"/>
      <w:footerReference w:type="default" r:id="rId10"/>
      <w:pgSz w:w="12240" w:h="15840"/>
      <w:pgMar w:top="850" w:right="964" w:bottom="850"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 xml:space="preserve">Cas pédagogique 1083 — données internes simulées — </w:t>
    </w:r>
  </w:p>
  <w:p>
    <w:pPr>
      <w:jc w:val="right"/>
    </w:pPr>
    <w:r>
      <w:rPr>
        <w:rFonts w:ascii="Arial" w:hAnsi="Arial"/>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BTS GPME — Participer à la gestion des risques de la PME — R04 — Incident cyber et données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F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4C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igne">
    <w:name w:val="Consigne"/>
    <w:rPr>
      <w:rFonts w:ascii="Arial" w:hAnsi="Arial"/>
      <w:b/>
      <w:color w:val="173F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