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R07 — Brief de projet : continuité, environnement et qualité</w:t>
      </w:r>
    </w:p>
    <w:tbl>
      <w:tblPr>
        <w:tblW w:type="auto" w:w="0"/>
        <w:jc w:val="center"/>
        <w:tblLayout w:type="autofit"/>
        <w:tblLook w:firstColumn="1" w:firstRow="1" w:lastColumn="0" w:lastRow="0" w:noHBand="0" w:noVBand="1" w:val="04A0"/>
      </w:tblPr>
      <w:tblGrid>
        <w:gridCol w:w="10312"/>
      </w:tblGrid>
      <w:tr>
        <w:tc>
          <w:tcPr>
            <w:tcW w:type="dxa" w:w="10312"/>
            <w:shd w:fill="FFF3CD"/>
          </w:tcPr>
          <w:p>
            <w:r>
              <w:rPr>
                <w:rFonts w:ascii="Arial" w:hAnsi="Arial"/>
                <w:sz w:val="19"/>
              </w:rPr>
            </w:r>
            <w:r>
              <w:rPr>
                <w:rFonts w:ascii="Arial" w:hAnsi="Arial"/>
                <w:b/>
                <w:sz w:val="19"/>
              </w:rPr>
              <w:t xml:space="preserve">Périmètre — </w:t>
            </w:r>
            <w:r>
              <w:rPr>
                <w:rFonts w:ascii="Arial" w:hAnsi="Arial"/>
                <w:sz w:val="19"/>
              </w:rPr>
              <w:t>Les objectifs et contraintes internes sont fictifs. Le fait public concernant la fermeture d’un sous-traitant de coupe en 2023 est, lui, repris de l’histoire publiée par 1083.</w:t>
            </w:r>
          </w:p>
        </w:tc>
      </w:tr>
    </w:tbl>
    <w:p>
      <w:pPr>
        <w:pStyle w:val="Heading1"/>
      </w:pPr>
      <w:r>
        <w:t>1. Demande de la direction</w:t>
      </w:r>
    </w:p>
    <w:p>
      <w:r>
        <w:rPr>
          <w:sz w:val="20"/>
        </w:rPr>
        <w:t>La direction souhaite disposer, avant la prochaine période de forte activité, d’un plan simple permettant de réduire la dépendance à quelques partenaires critiques, d’améliorer la traçabilité des preuves environnementales et de diminuer les retours clients évitables. Le projet doit rester compatible avec les moyens d’une PME et ne doit pas créer une procédure trop lourde.</w:t>
      </w:r>
    </w:p>
    <w:p>
      <w:pPr>
        <w:pStyle w:val="Heading1"/>
      </w:pPr>
      <w:r>
        <w:t>2. Contraintes du mini-projet</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0F4C5C"/>
          </w:tcPr>
          <w:p>
            <w:r/>
            <w:r>
              <w:rPr>
                <w:rFonts w:ascii="Arial" w:hAnsi="Arial"/>
                <w:b/>
                <w:color w:val="FFFFFF"/>
                <w:sz w:val="18"/>
              </w:rPr>
              <w:t>Contrainte</w:t>
            </w:r>
          </w:p>
        </w:tc>
        <w:tc>
          <w:tcPr>
            <w:tcW w:type="dxa" w:w="5156"/>
            <w:vAlign w:val="center"/>
            <w:shd w:fill="0F4C5C"/>
          </w:tcPr>
          <w:p>
            <w:r/>
            <w:r>
              <w:rPr>
                <w:rFonts w:ascii="Arial" w:hAnsi="Arial"/>
                <w:b/>
                <w:color w:val="FFFFFF"/>
                <w:sz w:val="18"/>
              </w:rPr>
              <w:t>Donnée pédagogique</w:t>
            </w:r>
          </w:p>
        </w:tc>
      </w:tr>
      <w:tr>
        <w:tc>
          <w:tcPr>
            <w:tcW w:type="dxa" w:w="5156"/>
            <w:vAlign w:val="center"/>
          </w:tcPr>
          <w:p>
            <w:r/>
            <w:r>
              <w:rPr>
                <w:rFonts w:ascii="Arial" w:hAnsi="Arial"/>
                <w:b w:val="0"/>
                <w:sz w:val="18"/>
              </w:rPr>
              <w:t>Délai</w:t>
            </w:r>
          </w:p>
        </w:tc>
        <w:tc>
          <w:tcPr>
            <w:tcW w:type="dxa" w:w="5156"/>
            <w:vAlign w:val="center"/>
          </w:tcPr>
          <w:p>
            <w:r/>
            <w:r>
              <w:rPr>
                <w:rFonts w:ascii="Arial" w:hAnsi="Arial"/>
                <w:b w:val="0"/>
                <w:sz w:val="18"/>
              </w:rPr>
              <w:t>6 semaines pour proposer et tester les premières actions</w:t>
            </w:r>
          </w:p>
        </w:tc>
      </w:tr>
      <w:tr>
        <w:tc>
          <w:tcPr>
            <w:tcW w:type="dxa" w:w="5156"/>
            <w:vAlign w:val="center"/>
            <w:shd w:fill="EEF7F8"/>
          </w:tcPr>
          <w:p>
            <w:r/>
            <w:r>
              <w:rPr>
                <w:rFonts w:ascii="Arial" w:hAnsi="Arial"/>
                <w:b w:val="0"/>
                <w:sz w:val="18"/>
              </w:rPr>
              <w:t>Équipe</w:t>
            </w:r>
          </w:p>
        </w:tc>
        <w:tc>
          <w:tcPr>
            <w:tcW w:type="dxa" w:w="5156"/>
            <w:vAlign w:val="center"/>
            <w:shd w:fill="EEF7F8"/>
          </w:tcPr>
          <w:p>
            <w:r/>
            <w:r>
              <w:rPr>
                <w:rFonts w:ascii="Arial" w:hAnsi="Arial"/>
                <w:b w:val="0"/>
                <w:sz w:val="18"/>
              </w:rPr>
              <w:t>Direction, achats/production, qualité/SAV, e-commerce, assistant(e) de gestion</w:t>
            </w:r>
          </w:p>
        </w:tc>
      </w:tr>
      <w:tr>
        <w:tc>
          <w:tcPr>
            <w:tcW w:type="dxa" w:w="5156"/>
            <w:vAlign w:val="center"/>
          </w:tcPr>
          <w:p>
            <w:r/>
            <w:r>
              <w:rPr>
                <w:rFonts w:ascii="Arial" w:hAnsi="Arial"/>
                <w:b w:val="0"/>
                <w:sz w:val="18"/>
              </w:rPr>
              <w:t>Budget test</w:t>
            </w:r>
          </w:p>
        </w:tc>
        <w:tc>
          <w:tcPr>
            <w:tcW w:type="dxa" w:w="5156"/>
            <w:vAlign w:val="center"/>
          </w:tcPr>
          <w:p>
            <w:r/>
            <w:r>
              <w:rPr>
                <w:rFonts w:ascii="Arial" w:hAnsi="Arial"/>
                <w:b w:val="0"/>
                <w:sz w:val="18"/>
              </w:rPr>
              <w:t>8 000 € maximum avant validation complémentaire</w:t>
            </w:r>
          </w:p>
        </w:tc>
      </w:tr>
      <w:tr>
        <w:tc>
          <w:tcPr>
            <w:tcW w:type="dxa" w:w="5156"/>
            <w:vAlign w:val="center"/>
            <w:shd w:fill="EEF7F8"/>
          </w:tcPr>
          <w:p>
            <w:r/>
            <w:r>
              <w:rPr>
                <w:rFonts w:ascii="Arial" w:hAnsi="Arial"/>
                <w:b w:val="0"/>
                <w:sz w:val="18"/>
              </w:rPr>
              <w:t>Période sensible</w:t>
            </w:r>
          </w:p>
        </w:tc>
        <w:tc>
          <w:tcPr>
            <w:tcW w:type="dxa" w:w="5156"/>
            <w:vAlign w:val="center"/>
            <w:shd w:fill="EEF7F8"/>
          </w:tcPr>
          <w:p>
            <w:r/>
            <w:r>
              <w:rPr>
                <w:rFonts w:ascii="Arial" w:hAnsi="Arial"/>
                <w:b w:val="0"/>
                <w:sz w:val="18"/>
              </w:rPr>
              <w:t>Forte activité commerciale à partir de novembre</w:t>
            </w:r>
          </w:p>
        </w:tc>
      </w:tr>
      <w:tr>
        <w:tc>
          <w:tcPr>
            <w:tcW w:type="dxa" w:w="5156"/>
            <w:vAlign w:val="center"/>
          </w:tcPr>
          <w:p>
            <w:r/>
            <w:r>
              <w:rPr>
                <w:rFonts w:ascii="Arial" w:hAnsi="Arial"/>
                <w:b w:val="0"/>
                <w:sz w:val="18"/>
              </w:rPr>
              <w:t>Documentation</w:t>
            </w:r>
          </w:p>
        </w:tc>
        <w:tc>
          <w:tcPr>
            <w:tcW w:type="dxa" w:w="5156"/>
            <w:vAlign w:val="center"/>
          </w:tcPr>
          <w:p>
            <w:r/>
            <w:r>
              <w:rPr>
                <w:rFonts w:ascii="Arial" w:hAnsi="Arial"/>
                <w:b w:val="0"/>
                <w:sz w:val="18"/>
              </w:rPr>
              <w:t>Les preuves de certification et procédures doivent être centralisées</w:t>
            </w:r>
          </w:p>
        </w:tc>
      </w:tr>
      <w:tr>
        <w:tc>
          <w:tcPr>
            <w:tcW w:type="dxa" w:w="5156"/>
            <w:vAlign w:val="center"/>
            <w:shd w:fill="EEF7F8"/>
          </w:tcPr>
          <w:p>
            <w:r/>
            <w:r>
              <w:rPr>
                <w:rFonts w:ascii="Arial" w:hAnsi="Arial"/>
                <w:b w:val="0"/>
                <w:sz w:val="18"/>
              </w:rPr>
              <w:t>Principe</w:t>
            </w:r>
          </w:p>
        </w:tc>
        <w:tc>
          <w:tcPr>
            <w:tcW w:type="dxa" w:w="5156"/>
            <w:vAlign w:val="center"/>
            <w:shd w:fill="EEF7F8"/>
          </w:tcPr>
          <w:p>
            <w:r/>
            <w:r>
              <w:rPr>
                <w:rFonts w:ascii="Arial" w:hAnsi="Arial"/>
                <w:b w:val="0"/>
                <w:sz w:val="18"/>
              </w:rPr>
              <w:t>Ne pas confondre conformité réglementaire, certification volontaire et engagement marketing</w:t>
            </w:r>
          </w:p>
        </w:tc>
      </w:tr>
    </w:tbl>
    <w:p>
      <w:pPr>
        <w:pStyle w:val="Heading1"/>
      </w:pPr>
      <w:r>
        <w:t>3. Livrables attendus</w:t>
      </w:r>
    </w:p>
    <w:p>
      <w:pPr>
        <w:pStyle w:val="ListBullet"/>
        <w:spacing w:after="40"/>
      </w:pPr>
      <w:r>
        <w:rPr>
          <w:rFonts w:ascii="Arial" w:hAnsi="Arial"/>
          <w:sz w:val="20"/>
        </w:rPr>
        <w:t>Matrice de criticité fournisseurs et plan de continuité sur les trois dépendances prioritaires.</w:t>
      </w:r>
    </w:p>
    <w:p>
      <w:pPr>
        <w:pStyle w:val="ListBullet"/>
        <w:spacing w:after="40"/>
      </w:pPr>
      <w:r>
        <w:rPr>
          <w:rFonts w:ascii="Arial" w:hAnsi="Arial"/>
          <w:sz w:val="20"/>
        </w:rPr>
        <w:t>Plan d’action projet avec responsables, jalons, indicateurs et points de validation.</w:t>
      </w:r>
    </w:p>
    <w:p>
      <w:pPr>
        <w:pStyle w:val="ListBullet"/>
        <w:spacing w:after="40"/>
      </w:pPr>
      <w:r>
        <w:rPr>
          <w:rFonts w:ascii="Arial" w:hAnsi="Arial"/>
          <w:sz w:val="20"/>
        </w:rPr>
        <w:t>Analyse des retours clients et proposition d’une procédure de contrôle qualité ciblée.</w:t>
      </w:r>
    </w:p>
    <w:p>
      <w:pPr>
        <w:pStyle w:val="ListBullet"/>
        <w:spacing w:after="40"/>
      </w:pPr>
      <w:r>
        <w:rPr>
          <w:rFonts w:ascii="Arial" w:hAnsi="Arial"/>
          <w:sz w:val="20"/>
        </w:rPr>
        <w:t>Fiche de capitalisation : incident / cause / décision / preuve / enseignement / date de réexamen.</w:t>
      </w:r>
    </w:p>
    <w:p>
      <w:pPr>
        <w:pStyle w:val="Heading1"/>
      </w:pPr>
      <w:r>
        <w:t>4. Point de vigilance méthodologique</w:t>
      </w:r>
    </w:p>
    <w:tbl>
      <w:tblPr>
        <w:tblW w:type="auto" w:w="0"/>
        <w:jc w:val="center"/>
        <w:tblLayout w:type="autofit"/>
        <w:tblLook w:firstColumn="1" w:firstRow="1" w:lastColumn="0" w:lastRow="0" w:noHBand="0" w:noVBand="1" w:val="04A0"/>
      </w:tblPr>
      <w:tblGrid>
        <w:gridCol w:w="10312"/>
      </w:tblGrid>
      <w:tr>
        <w:tc>
          <w:tcPr>
            <w:tcW w:type="dxa" w:w="10312"/>
            <w:shd w:fill="E7F3E8"/>
          </w:tcPr>
          <w:p>
            <w:r>
              <w:rPr>
                <w:rFonts w:ascii="Arial" w:hAnsi="Arial"/>
                <w:sz w:val="19"/>
              </w:rPr>
            </w:r>
            <w:r>
              <w:rPr>
                <w:rFonts w:ascii="Arial" w:hAnsi="Arial"/>
                <w:b/>
                <w:sz w:val="19"/>
              </w:rPr>
              <w:t xml:space="preserve">Raisonnement — </w:t>
            </w:r>
            <w:r>
              <w:rPr>
                <w:rFonts w:ascii="Arial" w:hAnsi="Arial"/>
                <w:sz w:val="19"/>
              </w:rPr>
              <w:t>Un faisceau d’indices peut orienter le diagnostic, mais une corrélation n’est pas une preuve de causalité. Exemple : si un lot et un atelier apparaissent plus souvent dans les retours, il faut vérifier la part des ventes correspondantes et contrôler les produits avant d’attribuer la cause à l’atelier.</w:t>
            </w:r>
          </w:p>
        </w:tc>
      </w:tr>
    </w:tbl>
    <w:sectPr w:rsidR="00FC693F" w:rsidRPr="0006063C" w:rsidSect="00034616">
      <w:headerReference w:type="default" r:id="rId9"/>
      <w:footerReference w:type="default" r:id="rId10"/>
      <w:pgSz w:w="12240" w:h="15840"/>
      <w:pgMar w:top="850" w:right="964" w:bottom="850" w:left="96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 xml:space="preserve">Cas pédagogique 1083 — données internes simulées — </w:t>
    </w:r>
  </w:p>
  <w:p>
    <w:pPr>
      <w:jc w:val="right"/>
    </w:pPr>
    <w:r>
      <w:rPr>
        <w:rFonts w:ascii="Arial" w:hAnsi="Arial"/>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BTS GPME — Participer à la gestion des risques de la PME — R07 — Continuité, environnement et qualité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4C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F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F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4C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signe">
    <w:name w:val="Consigne"/>
    <w:rPr>
      <w:rFonts w:ascii="Arial" w:hAnsi="Arial"/>
      <w:b/>
      <w:color w:val="173F4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