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40"/>
        </w:rPr>
        <w:t>R09 — Veille : où chercher et comment qualifier l’information</w:t>
      </w:r>
    </w:p>
    <w:p>
      <w:pPr>
        <w:jc w:val="center"/>
      </w:pPr>
      <w:r>
        <w:t>Ressource de travail — Situations 1, 2, 3 et 5 — version 1.8</w:t>
      </w:r>
    </w:p>
    <w:tbl>
      <w:tblPr>
        <w:tblStyle w:val="TableGrid"/>
        <w:tblW w:type="auto" w:w="0"/>
        <w:tblLook w:firstColumn="1" w:firstRow="1" w:lastColumn="0" w:lastRow="0" w:noHBand="0" w:noVBand="1" w:val="04A0"/>
      </w:tblPr>
      <w:tblGrid>
        <w:gridCol w:w="10426"/>
      </w:tblGrid>
      <w:tr>
        <w:trPr>
          <w:tblHeader w:val="true"/>
          <w:cantSplit/>
        </w:trPr>
        <w:tc>
          <w:tcPr>
            <w:tcW w:type="dxa" w:w="10426"/>
            <w:shd w:fill="FFF2CC"/>
            <w:vAlign w:val="top"/>
          </w:tcPr>
          <w:p>
            <w:r/>
            <w:r>
              <w:rPr>
                <w:rFonts w:ascii="Arial" w:hAnsi="Arial"/>
                <w:b w:val="0"/>
                <w:sz w:val="19"/>
              </w:rPr>
              <w:t>À quoi sert cette fiche ?</w:t>
              <w:br/>
              <w:t>Elle permet de concevoir un dispositif de veille sans recherche libre sur Internet. Elle distingue le sujet surveillé, le type de veille, le statut de l’information et les sources mobilisables.</w:t>
            </w:r>
          </w:p>
        </w:tc>
      </w:tr>
    </w:tbl>
    <w:p>
      <w:pPr>
        <w:pStyle w:val="Heading1"/>
      </w:pPr>
      <w:r>
        <w:t>1. Distinguer sujet, type et statut</w:t>
      </w:r>
    </w:p>
    <w:p>
      <w:r>
        <w:t>Le sujet à surveiller précise l’information recherchée. Le type de veille correspond à une grande famille. Le statut indique la nature de l’exigence, de la recommandation, de la certification ou de l’information surveillée.</w:t>
      </w:r>
    </w:p>
    <w:tbl>
      <w:tblPr>
        <w:tblStyle w:val="TableGrid"/>
        <w:tblW w:type="auto" w:w="0"/>
        <w:jc w:val="center"/>
        <w:tblLook w:firstColumn="1" w:firstRow="1" w:lastColumn="0" w:lastRow="0" w:noHBand="0" w:noVBand="1" w:val="04A0"/>
      </w:tblPr>
      <w:tblGrid>
        <w:gridCol w:w="5213"/>
        <w:gridCol w:w="5213"/>
      </w:tblGrid>
      <w:tr>
        <w:trPr>
          <w:tblHeader w:val="true"/>
          <w:cantSplit/>
        </w:trPr>
        <w:tc>
          <w:tcPr>
            <w:tcW w:type="dxa" w:w="4535"/>
            <w:vAlign w:val="top"/>
            <w:shd w:fill="FCE4D6"/>
          </w:tcPr>
          <w:p>
            <w:r/>
            <w:r>
              <w:rPr>
                <w:rFonts w:ascii="Arial" w:hAnsi="Arial"/>
                <w:b/>
                <w:sz w:val="19"/>
              </w:rPr>
              <w:t>Exemple de sujet</w:t>
            </w:r>
          </w:p>
        </w:tc>
        <w:tc>
          <w:tcPr>
            <w:tcW w:type="dxa" w:w="4535"/>
            <w:vAlign w:val="top"/>
            <w:shd w:fill="FCE4D6"/>
          </w:tcPr>
          <w:p>
            <w:r/>
            <w:r>
              <w:rPr>
                <w:rFonts w:ascii="Arial" w:hAnsi="Arial"/>
                <w:b/>
                <w:sz w:val="19"/>
              </w:rPr>
              <w:t>Type de veille</w:t>
            </w:r>
          </w:p>
        </w:tc>
      </w:tr>
      <w:tr>
        <w:trPr>
          <w:cantSplit/>
        </w:trPr>
        <w:tc>
          <w:tcPr>
            <w:tcW w:type="dxa" w:w="4535"/>
            <w:vAlign w:val="top"/>
          </w:tcPr>
          <w:p>
            <w:r/>
            <w:r>
              <w:rPr>
                <w:rFonts w:ascii="Arial" w:hAnsi="Arial"/>
                <w:b w:val="0"/>
                <w:sz w:val="19"/>
              </w:rPr>
              <w:t>Prix et disponibilité d’une matière</w:t>
            </w:r>
          </w:p>
        </w:tc>
        <w:tc>
          <w:tcPr>
            <w:tcW w:type="dxa" w:w="4535"/>
            <w:vAlign w:val="top"/>
          </w:tcPr>
          <w:p>
            <w:r/>
            <w:r>
              <w:rPr>
                <w:rFonts w:ascii="Arial" w:hAnsi="Arial"/>
                <w:b w:val="0"/>
                <w:sz w:val="19"/>
              </w:rPr>
              <w:t>Veille économique</w:t>
            </w:r>
          </w:p>
        </w:tc>
      </w:tr>
      <w:tr>
        <w:trPr>
          <w:cantSplit/>
        </w:trPr>
        <w:tc>
          <w:tcPr>
            <w:tcW w:type="dxa" w:w="4535"/>
            <w:vAlign w:val="top"/>
          </w:tcPr>
          <w:p>
            <w:r/>
            <w:r>
              <w:rPr>
                <w:rFonts w:ascii="Arial" w:hAnsi="Arial"/>
                <w:b w:val="0"/>
                <w:sz w:val="19"/>
              </w:rPr>
              <w:t>Situation d’un partenaire</w:t>
            </w:r>
          </w:p>
        </w:tc>
        <w:tc>
          <w:tcPr>
            <w:tcW w:type="dxa" w:w="4535"/>
            <w:vAlign w:val="top"/>
          </w:tcPr>
          <w:p>
            <w:r/>
            <w:r>
              <w:rPr>
                <w:rFonts w:ascii="Arial" w:hAnsi="Arial"/>
                <w:b w:val="0"/>
                <w:sz w:val="19"/>
              </w:rPr>
              <w:t>Veille économique</w:t>
            </w:r>
          </w:p>
        </w:tc>
      </w:tr>
      <w:tr>
        <w:trPr>
          <w:cantSplit/>
        </w:trPr>
        <w:tc>
          <w:tcPr>
            <w:tcW w:type="dxa" w:w="4535"/>
            <w:vAlign w:val="top"/>
          </w:tcPr>
          <w:p>
            <w:r/>
            <w:r>
              <w:rPr>
                <w:rFonts w:ascii="Arial" w:hAnsi="Arial"/>
                <w:b w:val="0"/>
                <w:sz w:val="19"/>
              </w:rPr>
              <w:t>Obligations de santé-sécurité</w:t>
            </w:r>
          </w:p>
        </w:tc>
        <w:tc>
          <w:tcPr>
            <w:tcW w:type="dxa" w:w="4535"/>
            <w:vAlign w:val="top"/>
          </w:tcPr>
          <w:p>
            <w:r/>
            <w:r>
              <w:rPr>
                <w:rFonts w:ascii="Arial" w:hAnsi="Arial"/>
                <w:b w:val="0"/>
                <w:sz w:val="19"/>
              </w:rPr>
              <w:t>Veille juridique et réglementaire</w:t>
            </w:r>
          </w:p>
        </w:tc>
      </w:tr>
      <w:tr>
        <w:trPr>
          <w:cantSplit/>
        </w:trPr>
        <w:tc>
          <w:tcPr>
            <w:tcW w:type="dxa" w:w="4535"/>
            <w:vAlign w:val="top"/>
          </w:tcPr>
          <w:p>
            <w:r/>
            <w:r>
              <w:rPr>
                <w:rFonts w:ascii="Arial" w:hAnsi="Arial"/>
                <w:b w:val="0"/>
                <w:sz w:val="19"/>
              </w:rPr>
              <w:t>Recommandations liées aux machines</w:t>
            </w:r>
          </w:p>
        </w:tc>
        <w:tc>
          <w:tcPr>
            <w:tcW w:type="dxa" w:w="4535"/>
            <w:vAlign w:val="top"/>
          </w:tcPr>
          <w:p>
            <w:r/>
            <w:r>
              <w:rPr>
                <w:rFonts w:ascii="Arial" w:hAnsi="Arial"/>
                <w:b w:val="0"/>
                <w:sz w:val="19"/>
              </w:rPr>
              <w:t>Veille technique</w:t>
            </w:r>
          </w:p>
        </w:tc>
      </w:tr>
      <w:tr>
        <w:trPr>
          <w:cantSplit/>
        </w:trPr>
        <w:tc>
          <w:tcPr>
            <w:tcW w:type="dxa" w:w="4535"/>
            <w:vAlign w:val="top"/>
          </w:tcPr>
          <w:p>
            <w:r/>
            <w:r>
              <w:rPr>
                <w:rFonts w:ascii="Arial" w:hAnsi="Arial"/>
                <w:b w:val="0"/>
                <w:sz w:val="19"/>
              </w:rPr>
              <w:t>Vulnérabilités informatiques</w:t>
            </w:r>
          </w:p>
        </w:tc>
        <w:tc>
          <w:tcPr>
            <w:tcW w:type="dxa" w:w="4535"/>
            <w:vAlign w:val="top"/>
          </w:tcPr>
          <w:p>
            <w:r/>
            <w:r>
              <w:rPr>
                <w:rFonts w:ascii="Arial" w:hAnsi="Arial"/>
                <w:b w:val="0"/>
                <w:sz w:val="19"/>
              </w:rPr>
              <w:t>Veille technologique</w:t>
            </w:r>
          </w:p>
        </w:tc>
      </w:tr>
      <w:tr>
        <w:trPr>
          <w:cantSplit/>
        </w:trPr>
        <w:tc>
          <w:tcPr>
            <w:tcW w:type="dxa" w:w="4535"/>
            <w:vAlign w:val="top"/>
          </w:tcPr>
          <w:p>
            <w:r/>
            <w:r>
              <w:rPr>
                <w:rFonts w:ascii="Arial" w:hAnsi="Arial"/>
                <w:b w:val="0"/>
                <w:sz w:val="19"/>
              </w:rPr>
              <w:t>Évolution des attentes clients</w:t>
            </w:r>
          </w:p>
        </w:tc>
        <w:tc>
          <w:tcPr>
            <w:tcW w:type="dxa" w:w="4535"/>
            <w:vAlign w:val="top"/>
          </w:tcPr>
          <w:p>
            <w:r/>
            <w:r>
              <w:rPr>
                <w:rFonts w:ascii="Arial" w:hAnsi="Arial"/>
                <w:b w:val="0"/>
                <w:sz w:val="19"/>
              </w:rPr>
              <w:t>Veille commerciale</w:t>
            </w:r>
          </w:p>
        </w:tc>
      </w:tr>
      <w:tr>
        <w:trPr>
          <w:cantSplit/>
        </w:trPr>
        <w:tc>
          <w:tcPr>
            <w:tcW w:type="dxa" w:w="4535"/>
            <w:vAlign w:val="top"/>
          </w:tcPr>
          <w:p>
            <w:r/>
            <w:r>
              <w:rPr>
                <w:rFonts w:ascii="Arial" w:hAnsi="Arial"/>
                <w:b w:val="0"/>
                <w:sz w:val="19"/>
              </w:rPr>
              <w:t>Métiers en tension</w:t>
            </w:r>
          </w:p>
        </w:tc>
        <w:tc>
          <w:tcPr>
            <w:tcW w:type="dxa" w:w="4535"/>
            <w:vAlign w:val="top"/>
          </w:tcPr>
          <w:p>
            <w:r/>
            <w:r>
              <w:rPr>
                <w:rFonts w:ascii="Arial" w:hAnsi="Arial"/>
                <w:b w:val="0"/>
                <w:sz w:val="19"/>
              </w:rPr>
              <w:t>Veille sociale / RH</w:t>
            </w:r>
          </w:p>
        </w:tc>
      </w:tr>
      <w:tr>
        <w:trPr>
          <w:cantSplit/>
        </w:trPr>
        <w:tc>
          <w:tcPr>
            <w:tcW w:type="dxa" w:w="4535"/>
            <w:vAlign w:val="top"/>
          </w:tcPr>
          <w:p>
            <w:r/>
            <w:r>
              <w:rPr>
                <w:rFonts w:ascii="Arial" w:hAnsi="Arial"/>
                <w:b w:val="0"/>
                <w:sz w:val="19"/>
              </w:rPr>
              <w:t>Référentiel d’une certification choisie</w:t>
            </w:r>
          </w:p>
        </w:tc>
        <w:tc>
          <w:tcPr>
            <w:tcW w:type="dxa" w:w="4535"/>
            <w:vAlign w:val="top"/>
          </w:tcPr>
          <w:p>
            <w:r/>
            <w:r>
              <w:rPr>
                <w:rFonts w:ascii="Arial" w:hAnsi="Arial"/>
                <w:b w:val="0"/>
                <w:sz w:val="19"/>
              </w:rPr>
              <w:t>Veille certification / conformité</w:t>
            </w:r>
          </w:p>
        </w:tc>
      </w:tr>
    </w:tbl>
    <w:p>
      <w:pPr>
        <w:pStyle w:val="Heading1"/>
      </w:pPr>
      <w:r>
        <w:t>2. Qualifier le statut de l’information</w:t>
      </w:r>
    </w:p>
    <w:tbl>
      <w:tblPr>
        <w:tblStyle w:val="TableGrid"/>
        <w:tblW w:type="auto" w:w="0"/>
        <w:jc w:val="center"/>
        <w:tblLook w:firstColumn="1" w:firstRow="1" w:lastColumn="0" w:lastRow="0" w:noHBand="0" w:noVBand="1" w:val="04A0"/>
      </w:tblPr>
      <w:tblGrid>
        <w:gridCol w:w="5213"/>
        <w:gridCol w:w="5213"/>
      </w:tblGrid>
      <w:tr>
        <w:trPr>
          <w:tblHeader w:val="true"/>
          <w:cantSplit/>
        </w:trPr>
        <w:tc>
          <w:tcPr>
            <w:tcW w:type="dxa" w:w="3402"/>
            <w:vAlign w:val="top"/>
            <w:shd w:fill="FCE4D6"/>
          </w:tcPr>
          <w:p>
            <w:r/>
            <w:r>
              <w:rPr>
                <w:rFonts w:ascii="Arial" w:hAnsi="Arial"/>
                <w:b/>
                <w:sz w:val="19"/>
              </w:rPr>
              <w:t>Statut</w:t>
            </w:r>
          </w:p>
        </w:tc>
        <w:tc>
          <w:tcPr>
            <w:tcW w:type="dxa" w:w="6236"/>
            <w:vAlign w:val="top"/>
            <w:shd w:fill="FCE4D6"/>
          </w:tcPr>
          <w:p>
            <w:r/>
            <w:r>
              <w:rPr>
                <w:rFonts w:ascii="Arial" w:hAnsi="Arial"/>
                <w:b/>
                <w:sz w:val="19"/>
              </w:rPr>
              <w:t>Comment l’interpréter</w:t>
            </w:r>
          </w:p>
        </w:tc>
      </w:tr>
      <w:tr>
        <w:trPr>
          <w:cantSplit/>
        </w:trPr>
        <w:tc>
          <w:tcPr>
            <w:tcW w:type="dxa" w:w="3402"/>
            <w:vAlign w:val="top"/>
          </w:tcPr>
          <w:p>
            <w:r/>
            <w:r>
              <w:rPr>
                <w:rFonts w:ascii="Arial" w:hAnsi="Arial"/>
                <w:b w:val="0"/>
                <w:sz w:val="19"/>
              </w:rPr>
              <w:t>Obligation légale / réglementaire</w:t>
            </w:r>
          </w:p>
        </w:tc>
        <w:tc>
          <w:tcPr>
            <w:tcW w:type="dxa" w:w="6236"/>
            <w:vAlign w:val="top"/>
          </w:tcPr>
          <w:p>
            <w:r/>
            <w:r>
              <w:rPr>
                <w:rFonts w:ascii="Arial" w:hAnsi="Arial"/>
                <w:b w:val="0"/>
                <w:sz w:val="19"/>
              </w:rPr>
              <w:t>Règle applicable que la PME doit respecter.</w:t>
            </w:r>
          </w:p>
        </w:tc>
      </w:tr>
      <w:tr>
        <w:trPr>
          <w:cantSplit/>
        </w:trPr>
        <w:tc>
          <w:tcPr>
            <w:tcW w:type="dxa" w:w="3402"/>
            <w:vAlign w:val="top"/>
          </w:tcPr>
          <w:p>
            <w:r/>
            <w:r>
              <w:rPr>
                <w:rFonts w:ascii="Arial" w:hAnsi="Arial"/>
                <w:b w:val="0"/>
                <w:sz w:val="19"/>
              </w:rPr>
              <w:t>Recommandation de sécurité</w:t>
            </w:r>
          </w:p>
        </w:tc>
        <w:tc>
          <w:tcPr>
            <w:tcW w:type="dxa" w:w="6236"/>
            <w:vAlign w:val="top"/>
          </w:tcPr>
          <w:p>
            <w:r/>
            <w:r>
              <w:rPr>
                <w:rFonts w:ascii="Arial" w:hAnsi="Arial"/>
                <w:b w:val="0"/>
                <w:sz w:val="19"/>
              </w:rPr>
              <w:t>Bonne pratique proposée par une autorité ou un organisme compétent.</w:t>
            </w:r>
          </w:p>
        </w:tc>
      </w:tr>
      <w:tr>
        <w:trPr>
          <w:cantSplit/>
        </w:trPr>
        <w:tc>
          <w:tcPr>
            <w:tcW w:type="dxa" w:w="3402"/>
            <w:vAlign w:val="top"/>
          </w:tcPr>
          <w:p>
            <w:r/>
            <w:r>
              <w:rPr>
                <w:rFonts w:ascii="Arial" w:hAnsi="Arial"/>
                <w:b w:val="0"/>
                <w:sz w:val="19"/>
              </w:rPr>
              <w:t>Certification volontaire</w:t>
            </w:r>
          </w:p>
        </w:tc>
        <w:tc>
          <w:tcPr>
            <w:tcW w:type="dxa" w:w="6236"/>
            <w:vAlign w:val="top"/>
          </w:tcPr>
          <w:p>
            <w:r/>
            <w:r>
              <w:rPr>
                <w:rFonts w:ascii="Arial" w:hAnsi="Arial"/>
                <w:b w:val="0"/>
                <w:sz w:val="19"/>
              </w:rPr>
              <w:t>Choix de l’entreprise ; son référentiel devient à respecter pour conserver la certification.</w:t>
            </w:r>
          </w:p>
        </w:tc>
      </w:tr>
      <w:tr>
        <w:trPr>
          <w:cantSplit/>
        </w:trPr>
        <w:tc>
          <w:tcPr>
            <w:tcW w:type="dxa" w:w="3402"/>
            <w:vAlign w:val="top"/>
          </w:tcPr>
          <w:p>
            <w:r/>
            <w:r>
              <w:rPr>
                <w:rFonts w:ascii="Arial" w:hAnsi="Arial"/>
                <w:b w:val="0"/>
                <w:sz w:val="19"/>
              </w:rPr>
              <w:t>Autre dispositif volontaire</w:t>
            </w:r>
          </w:p>
        </w:tc>
        <w:tc>
          <w:tcPr>
            <w:tcW w:type="dxa" w:w="6236"/>
            <w:vAlign w:val="top"/>
          </w:tcPr>
          <w:p>
            <w:r/>
            <w:r>
              <w:rPr>
                <w:rFonts w:ascii="Arial" w:hAnsi="Arial"/>
                <w:b w:val="0"/>
                <w:sz w:val="19"/>
              </w:rPr>
              <w:t>Dispositif encadré que l’entreprise peut choisir d’utiliser.</w:t>
            </w:r>
          </w:p>
        </w:tc>
      </w:tr>
      <w:tr>
        <w:trPr>
          <w:cantSplit/>
        </w:trPr>
        <w:tc>
          <w:tcPr>
            <w:tcW w:type="dxa" w:w="3402"/>
            <w:vAlign w:val="top"/>
          </w:tcPr>
          <w:p>
            <w:r/>
            <w:r>
              <w:rPr>
                <w:rFonts w:ascii="Arial" w:hAnsi="Arial"/>
                <w:b w:val="0"/>
                <w:sz w:val="19"/>
              </w:rPr>
              <w:t>Autre information de veille</w:t>
            </w:r>
          </w:p>
        </w:tc>
        <w:tc>
          <w:tcPr>
            <w:tcW w:type="dxa" w:w="6236"/>
            <w:vAlign w:val="top"/>
          </w:tcPr>
          <w:p>
            <w:r/>
            <w:r>
              <w:rPr>
                <w:rFonts w:ascii="Arial" w:hAnsi="Arial"/>
                <w:b w:val="0"/>
                <w:sz w:val="19"/>
              </w:rPr>
              <w:t>Information utile à la décision sans être une obligation, une recommandation de sécurité ou un dispositif formalisé : marché, prix, emploi, situation d’un partenaire, tendance, etc.</w:t>
            </w:r>
          </w:p>
        </w:tc>
      </w:tr>
    </w:tbl>
    <w:p>
      <w:r>
        <w:rPr>
          <w:b/>
        </w:rPr>
        <w:t xml:space="preserve">Attention : </w:t>
      </w:r>
      <w:r>
        <w:t>ce n’est jamais le risque lui-même qui est « obligatoire » ou « volontaire ».</w:t>
      </w:r>
    </w:p>
    <w:p>
      <w:pPr>
        <w:pStyle w:val="Heading1"/>
      </w:pPr>
      <w:r>
        <w:t>3. Choisir des sources adaptées</w:t>
      </w:r>
    </w:p>
    <w:tbl>
      <w:tblPr>
        <w:tblStyle w:val="TableGrid"/>
        <w:tblW w:type="auto" w:w="0"/>
        <w:jc w:val="center"/>
        <w:tblLook w:firstColumn="1" w:firstRow="1" w:lastColumn="0" w:lastRow="0" w:noHBand="0" w:noVBand="1" w:val="04A0"/>
      </w:tblPr>
      <w:tblGrid>
        <w:gridCol w:w="3475"/>
        <w:gridCol w:w="3475"/>
        <w:gridCol w:w="3475"/>
      </w:tblGrid>
      <w:tr>
        <w:trPr>
          <w:tblHeader w:val="true"/>
          <w:cantSplit/>
        </w:trPr>
        <w:tc>
          <w:tcPr>
            <w:tcW w:type="dxa" w:w="2835"/>
            <w:vAlign w:val="top"/>
            <w:shd w:fill="FCE4D6"/>
          </w:tcPr>
          <w:p>
            <w:r/>
            <w:r>
              <w:rPr>
                <w:rFonts w:ascii="Arial" w:hAnsi="Arial"/>
                <w:b/>
                <w:sz w:val="19"/>
              </w:rPr>
              <w:t>Information recherchée</w:t>
            </w:r>
          </w:p>
        </w:tc>
        <w:tc>
          <w:tcPr>
            <w:tcW w:type="dxa" w:w="3969"/>
            <w:vAlign w:val="top"/>
            <w:shd w:fill="FCE4D6"/>
          </w:tcPr>
          <w:p>
            <w:r/>
            <w:r>
              <w:rPr>
                <w:rFonts w:ascii="Arial" w:hAnsi="Arial"/>
                <w:b/>
                <w:sz w:val="19"/>
              </w:rPr>
              <w:t>Sources à privilégier</w:t>
            </w:r>
          </w:p>
        </w:tc>
        <w:tc>
          <w:tcPr>
            <w:tcW w:type="dxa" w:w="3402"/>
            <w:vAlign w:val="top"/>
            <w:shd w:fill="FCE4D6"/>
          </w:tcPr>
          <w:p>
            <w:r/>
            <w:r>
              <w:rPr>
                <w:rFonts w:ascii="Arial" w:hAnsi="Arial"/>
                <w:b/>
                <w:sz w:val="19"/>
              </w:rPr>
              <w:t>Utilité</w:t>
            </w:r>
          </w:p>
        </w:tc>
      </w:tr>
      <w:tr>
        <w:trPr>
          <w:cantSplit/>
        </w:trPr>
        <w:tc>
          <w:tcPr>
            <w:tcW w:type="dxa" w:w="2835"/>
            <w:vAlign w:val="top"/>
          </w:tcPr>
          <w:p>
            <w:r/>
            <w:r>
              <w:rPr>
                <w:rFonts w:ascii="Arial" w:hAnsi="Arial"/>
                <w:b w:val="0"/>
                <w:sz w:val="19"/>
              </w:rPr>
              <w:t>Loi ou règlement</w:t>
            </w:r>
          </w:p>
        </w:tc>
        <w:tc>
          <w:tcPr>
            <w:tcW w:type="dxa" w:w="3969"/>
            <w:vAlign w:val="top"/>
          </w:tcPr>
          <w:p>
            <w:r/>
            <w:r>
              <w:rPr>
                <w:rFonts w:ascii="Arial" w:hAnsi="Arial"/>
                <w:b w:val="0"/>
                <w:sz w:val="19"/>
              </w:rPr>
              <w:t>Légifrance ; administration compétente</w:t>
            </w:r>
          </w:p>
        </w:tc>
        <w:tc>
          <w:tcPr>
            <w:tcW w:type="dxa" w:w="3402"/>
            <w:vAlign w:val="top"/>
          </w:tcPr>
          <w:p>
            <w:r/>
            <w:r>
              <w:rPr>
                <w:rFonts w:ascii="Arial" w:hAnsi="Arial"/>
                <w:b w:val="0"/>
                <w:sz w:val="19"/>
              </w:rPr>
              <w:t>Vérifier la règle applicable et ses évolutions.</w:t>
            </w:r>
          </w:p>
        </w:tc>
      </w:tr>
      <w:tr>
        <w:trPr>
          <w:cantSplit/>
        </w:trPr>
        <w:tc>
          <w:tcPr>
            <w:tcW w:type="dxa" w:w="2835"/>
            <w:vAlign w:val="top"/>
          </w:tcPr>
          <w:p>
            <w:r/>
            <w:r>
              <w:rPr>
                <w:rFonts w:ascii="Arial" w:hAnsi="Arial"/>
                <w:b w:val="0"/>
                <w:sz w:val="19"/>
              </w:rPr>
              <w:t>Santé et sécurité</w:t>
            </w:r>
          </w:p>
        </w:tc>
        <w:tc>
          <w:tcPr>
            <w:tcW w:type="dxa" w:w="3969"/>
            <w:vAlign w:val="top"/>
          </w:tcPr>
          <w:p>
            <w:r/>
            <w:r>
              <w:rPr>
                <w:rFonts w:ascii="Arial" w:hAnsi="Arial"/>
                <w:b w:val="0"/>
                <w:sz w:val="19"/>
              </w:rPr>
              <w:t>Ministère du Travail ; INRS ; Carsat</w:t>
            </w:r>
          </w:p>
        </w:tc>
        <w:tc>
          <w:tcPr>
            <w:tcW w:type="dxa" w:w="3402"/>
            <w:vAlign w:val="top"/>
          </w:tcPr>
          <w:p>
            <w:r/>
            <w:r>
              <w:rPr>
                <w:rFonts w:ascii="Arial" w:hAnsi="Arial"/>
                <w:b w:val="0"/>
                <w:sz w:val="19"/>
              </w:rPr>
              <w:t>Obligations et recommandations de prévention.</w:t>
            </w:r>
          </w:p>
        </w:tc>
      </w:tr>
      <w:tr>
        <w:trPr>
          <w:cantSplit/>
        </w:trPr>
        <w:tc>
          <w:tcPr>
            <w:tcW w:type="dxa" w:w="2835"/>
            <w:vAlign w:val="top"/>
          </w:tcPr>
          <w:p>
            <w:r/>
            <w:r>
              <w:rPr>
                <w:rFonts w:ascii="Arial" w:hAnsi="Arial"/>
                <w:b w:val="0"/>
                <w:sz w:val="19"/>
              </w:rPr>
              <w:t>Données personnelles</w:t>
            </w:r>
          </w:p>
        </w:tc>
        <w:tc>
          <w:tcPr>
            <w:tcW w:type="dxa" w:w="3969"/>
            <w:vAlign w:val="top"/>
          </w:tcPr>
          <w:p>
            <w:r/>
            <w:r>
              <w:rPr>
                <w:rFonts w:ascii="Arial" w:hAnsi="Arial"/>
                <w:b w:val="0"/>
                <w:sz w:val="19"/>
              </w:rPr>
              <w:t>CNIL</w:t>
            </w:r>
          </w:p>
        </w:tc>
        <w:tc>
          <w:tcPr>
            <w:tcW w:type="dxa" w:w="3402"/>
            <w:vAlign w:val="top"/>
          </w:tcPr>
          <w:p>
            <w:r/>
            <w:r>
              <w:rPr>
                <w:rFonts w:ascii="Arial" w:hAnsi="Arial"/>
                <w:b w:val="0"/>
                <w:sz w:val="19"/>
              </w:rPr>
              <w:t>Obligations relatives aux traitements et violations de données.</w:t>
            </w:r>
          </w:p>
        </w:tc>
      </w:tr>
      <w:tr>
        <w:trPr>
          <w:cantSplit/>
        </w:trPr>
        <w:tc>
          <w:tcPr>
            <w:tcW w:type="dxa" w:w="2835"/>
            <w:vAlign w:val="top"/>
          </w:tcPr>
          <w:p>
            <w:r/>
            <w:r>
              <w:rPr>
                <w:rFonts w:ascii="Arial" w:hAnsi="Arial"/>
                <w:b w:val="0"/>
                <w:sz w:val="19"/>
              </w:rPr>
              <w:t>Cybersécurité</w:t>
            </w:r>
          </w:p>
        </w:tc>
        <w:tc>
          <w:tcPr>
            <w:tcW w:type="dxa" w:w="3969"/>
            <w:vAlign w:val="top"/>
          </w:tcPr>
          <w:p>
            <w:r/>
            <w:r>
              <w:rPr>
                <w:rFonts w:ascii="Arial" w:hAnsi="Arial"/>
                <w:b w:val="0"/>
                <w:sz w:val="19"/>
              </w:rPr>
              <w:t>ANSSI ; CERT-FR ; éditeurs</w:t>
            </w:r>
          </w:p>
        </w:tc>
        <w:tc>
          <w:tcPr>
            <w:tcW w:type="dxa" w:w="3402"/>
            <w:vAlign w:val="top"/>
          </w:tcPr>
          <w:p>
            <w:r/>
            <w:r>
              <w:rPr>
                <w:rFonts w:ascii="Arial" w:hAnsi="Arial"/>
                <w:b w:val="0"/>
                <w:sz w:val="19"/>
              </w:rPr>
              <w:t>Alertes, vulnérabilités et recommandations techniques.</w:t>
            </w:r>
          </w:p>
        </w:tc>
      </w:tr>
      <w:tr>
        <w:trPr>
          <w:cantSplit/>
        </w:trPr>
        <w:tc>
          <w:tcPr>
            <w:tcW w:type="dxa" w:w="2835"/>
            <w:vAlign w:val="top"/>
          </w:tcPr>
          <w:p>
            <w:r/>
            <w:r>
              <w:rPr>
                <w:rFonts w:ascii="Arial" w:hAnsi="Arial"/>
                <w:b w:val="0"/>
                <w:sz w:val="19"/>
              </w:rPr>
              <w:t>Situation d’une entreprise / d’un partenaire</w:t>
            </w:r>
          </w:p>
        </w:tc>
        <w:tc>
          <w:tcPr>
            <w:tcW w:type="dxa" w:w="3969"/>
            <w:vAlign w:val="top"/>
          </w:tcPr>
          <w:p>
            <w:r/>
            <w:r>
              <w:rPr>
                <w:rFonts w:ascii="Arial" w:hAnsi="Arial"/>
                <w:b w:val="0"/>
                <w:sz w:val="19"/>
              </w:rPr>
              <w:t>Annuaire des entreprises ; BODACC ; informations du partenaire</w:t>
            </w:r>
          </w:p>
        </w:tc>
        <w:tc>
          <w:tcPr>
            <w:tcW w:type="dxa" w:w="3402"/>
            <w:vAlign w:val="top"/>
          </w:tcPr>
          <w:p>
            <w:r/>
            <w:r>
              <w:rPr>
                <w:rFonts w:ascii="Arial" w:hAnsi="Arial"/>
                <w:b w:val="0"/>
                <w:sz w:val="19"/>
              </w:rPr>
              <w:t>Identifier des changements de situation, procédures, cessations ou signaux à vérifier.</w:t>
            </w:r>
          </w:p>
        </w:tc>
      </w:tr>
      <w:tr>
        <w:trPr>
          <w:cantSplit/>
        </w:trPr>
        <w:tc>
          <w:tcPr>
            <w:tcW w:type="dxa" w:w="2835"/>
            <w:vAlign w:val="top"/>
          </w:tcPr>
          <w:p>
            <w:r/>
            <w:r>
              <w:rPr>
                <w:rFonts w:ascii="Arial" w:hAnsi="Arial"/>
                <w:b w:val="0"/>
                <w:sz w:val="19"/>
              </w:rPr>
              <w:t>Marché / consommation</w:t>
            </w:r>
          </w:p>
        </w:tc>
        <w:tc>
          <w:tcPr>
            <w:tcW w:type="dxa" w:w="3969"/>
            <w:vAlign w:val="top"/>
          </w:tcPr>
          <w:p>
            <w:r/>
            <w:r>
              <w:rPr>
                <w:rFonts w:ascii="Arial" w:hAnsi="Arial"/>
                <w:b w:val="0"/>
                <w:sz w:val="19"/>
              </w:rPr>
              <w:t>INSEE ; organismes professionnels ; études sectorielles</w:t>
            </w:r>
          </w:p>
        </w:tc>
        <w:tc>
          <w:tcPr>
            <w:tcW w:type="dxa" w:w="3402"/>
            <w:vAlign w:val="top"/>
          </w:tcPr>
          <w:p>
            <w:r/>
            <w:r>
              <w:rPr>
                <w:rFonts w:ascii="Arial" w:hAnsi="Arial"/>
                <w:b w:val="0"/>
                <w:sz w:val="19"/>
              </w:rPr>
              <w:t>Suivre la demande, les prix et les comportements d’achat.</w:t>
            </w:r>
          </w:p>
        </w:tc>
      </w:tr>
      <w:tr>
        <w:trPr>
          <w:cantSplit/>
        </w:trPr>
        <w:tc>
          <w:tcPr>
            <w:tcW w:type="dxa" w:w="2835"/>
            <w:vAlign w:val="top"/>
          </w:tcPr>
          <w:p>
            <w:r/>
            <w:r>
              <w:rPr>
                <w:rFonts w:ascii="Arial" w:hAnsi="Arial"/>
                <w:b w:val="0"/>
                <w:sz w:val="19"/>
              </w:rPr>
              <w:t>Emploi / compétences</w:t>
            </w:r>
          </w:p>
        </w:tc>
        <w:tc>
          <w:tcPr>
            <w:tcW w:type="dxa" w:w="3969"/>
            <w:vAlign w:val="top"/>
          </w:tcPr>
          <w:p>
            <w:r/>
            <w:r>
              <w:rPr>
                <w:rFonts w:ascii="Arial" w:hAnsi="Arial"/>
                <w:b w:val="0"/>
                <w:sz w:val="19"/>
              </w:rPr>
              <w:t>France Travail ; OPCO ; observatoires de branche</w:t>
            </w:r>
          </w:p>
        </w:tc>
        <w:tc>
          <w:tcPr>
            <w:tcW w:type="dxa" w:w="3402"/>
            <w:vAlign w:val="top"/>
          </w:tcPr>
          <w:p>
            <w:r/>
            <w:r>
              <w:rPr>
                <w:rFonts w:ascii="Arial" w:hAnsi="Arial"/>
                <w:b w:val="0"/>
                <w:sz w:val="19"/>
              </w:rPr>
              <w:t>Repérer métiers en tension, besoins de recrutement et de formation.</w:t>
            </w:r>
          </w:p>
        </w:tc>
      </w:tr>
      <w:tr>
        <w:trPr>
          <w:cantSplit/>
        </w:trPr>
        <w:tc>
          <w:tcPr>
            <w:tcW w:type="dxa" w:w="2835"/>
            <w:vAlign w:val="top"/>
          </w:tcPr>
          <w:p>
            <w:r/>
            <w:r>
              <w:rPr>
                <w:rFonts w:ascii="Arial" w:hAnsi="Arial"/>
                <w:b w:val="0"/>
                <w:sz w:val="19"/>
              </w:rPr>
              <w:t>Certification</w:t>
            </w:r>
          </w:p>
        </w:tc>
        <w:tc>
          <w:tcPr>
            <w:tcW w:type="dxa" w:w="3969"/>
            <w:vAlign w:val="top"/>
          </w:tcPr>
          <w:p>
            <w:r/>
            <w:r>
              <w:rPr>
                <w:rFonts w:ascii="Arial" w:hAnsi="Arial"/>
                <w:b w:val="0"/>
                <w:sz w:val="19"/>
              </w:rPr>
              <w:t>Organisme propriétaire du référentiel ; certificateur</w:t>
            </w:r>
          </w:p>
        </w:tc>
        <w:tc>
          <w:tcPr>
            <w:tcW w:type="dxa" w:w="3402"/>
            <w:vAlign w:val="top"/>
          </w:tcPr>
          <w:p>
            <w:r/>
            <w:r>
              <w:rPr>
                <w:rFonts w:ascii="Arial" w:hAnsi="Arial"/>
                <w:b w:val="0"/>
                <w:sz w:val="19"/>
              </w:rPr>
              <w:t>Suivre les critères, versions et échéances.</w:t>
            </w:r>
          </w:p>
        </w:tc>
      </w:tr>
      <w:tr>
        <w:trPr>
          <w:cantSplit/>
        </w:trPr>
        <w:tc>
          <w:tcPr>
            <w:tcW w:type="dxa" w:w="2835"/>
            <w:vAlign w:val="top"/>
          </w:tcPr>
          <w:p>
            <w:r/>
            <w:r>
              <w:rPr>
                <w:rFonts w:ascii="Arial" w:hAnsi="Arial"/>
                <w:b w:val="0"/>
                <w:sz w:val="19"/>
              </w:rPr>
              <w:t>Tendances / innovation</w:t>
            </w:r>
          </w:p>
        </w:tc>
        <w:tc>
          <w:tcPr>
            <w:tcW w:type="dxa" w:w="3969"/>
            <w:vAlign w:val="top"/>
          </w:tcPr>
          <w:p>
            <w:r/>
            <w:r>
              <w:rPr>
                <w:rFonts w:ascii="Arial" w:hAnsi="Arial"/>
                <w:b w:val="0"/>
                <w:sz w:val="19"/>
              </w:rPr>
              <w:t>Presse professionnelle ; salons ; organismes professionnels ; concurrents</w:t>
            </w:r>
          </w:p>
        </w:tc>
        <w:tc>
          <w:tcPr>
            <w:tcW w:type="dxa" w:w="3402"/>
            <w:vAlign w:val="top"/>
          </w:tcPr>
          <w:p>
            <w:r/>
            <w:r>
              <w:rPr>
                <w:rFonts w:ascii="Arial" w:hAnsi="Arial"/>
                <w:b w:val="0"/>
                <w:sz w:val="19"/>
              </w:rPr>
              <w:t>Repérer les évolutions de produits, technologies et attentes du marché.</w:t>
            </w:r>
          </w:p>
        </w:tc>
      </w:tr>
      <w:tr>
        <w:trPr>
          <w:cantSplit/>
        </w:trPr>
        <w:tc>
          <w:tcPr>
            <w:tcW w:type="dxa" w:w="2835"/>
            <w:vAlign w:val="top"/>
          </w:tcPr>
          <w:p>
            <w:r/>
            <w:r>
              <w:rPr>
                <w:rFonts w:ascii="Arial" w:hAnsi="Arial"/>
                <w:b w:val="0"/>
                <w:sz w:val="19"/>
              </w:rPr>
              <w:t>Informations propres à l’entreprise</w:t>
            </w:r>
          </w:p>
        </w:tc>
        <w:tc>
          <w:tcPr>
            <w:tcW w:type="dxa" w:w="3969"/>
            <w:vAlign w:val="top"/>
          </w:tcPr>
          <w:p>
            <w:r/>
            <w:r>
              <w:rPr>
                <w:rFonts w:ascii="Arial" w:hAnsi="Arial"/>
                <w:b w:val="0"/>
                <w:sz w:val="19"/>
              </w:rPr>
              <w:t>Documents internes ; procédures ; tableaux de bord ; logiciels ; entretiens autorisés</w:t>
            </w:r>
          </w:p>
        </w:tc>
        <w:tc>
          <w:tcPr>
            <w:tcW w:type="dxa" w:w="3402"/>
            <w:vAlign w:val="top"/>
          </w:tcPr>
          <w:p>
            <w:r/>
            <w:r>
              <w:rPr>
                <w:rFonts w:ascii="Arial" w:hAnsi="Arial"/>
                <w:b w:val="0"/>
                <w:sz w:val="19"/>
              </w:rPr>
              <w:t>Compléter l’analyse avec les faits internes réellement disponibles.</w:t>
            </w:r>
          </w:p>
        </w:tc>
      </w:tr>
    </w:tbl>
    <w:p>
      <w:pPr>
        <w:pStyle w:val="Heading1"/>
      </w:pPr>
      <w:r>
        <w:t>4. Quelques sources directement utiles au cas 1083</w:t>
      </w:r>
    </w:p>
    <w:tbl>
      <w:tblPr>
        <w:tblStyle w:val="TableGrid"/>
        <w:tblW w:type="auto" w:w="0"/>
        <w:jc w:val="center"/>
        <w:tblLook w:firstColumn="1" w:firstRow="1" w:lastColumn="0" w:lastRow="0" w:noHBand="0" w:noVBand="1" w:val="04A0"/>
      </w:tblPr>
      <w:tblGrid>
        <w:gridCol w:w="3475"/>
        <w:gridCol w:w="3475"/>
        <w:gridCol w:w="3475"/>
      </w:tblGrid>
      <w:tr>
        <w:trPr>
          <w:tblHeader w:val="true"/>
          <w:cantSplit/>
        </w:trPr>
        <w:tc>
          <w:tcPr>
            <w:tcW w:type="dxa" w:w="2835"/>
            <w:vAlign w:val="top"/>
            <w:shd w:fill="FCE4D6"/>
          </w:tcPr>
          <w:p>
            <w:r/>
            <w:r>
              <w:rPr>
                <w:rFonts w:ascii="Arial" w:hAnsi="Arial"/>
                <w:b/>
                <w:sz w:val="19"/>
              </w:rPr>
              <w:t>Sujet</w:t>
            </w:r>
          </w:p>
        </w:tc>
        <w:tc>
          <w:tcPr>
            <w:tcW w:type="dxa" w:w="2835"/>
            <w:vAlign w:val="top"/>
            <w:shd w:fill="FCE4D6"/>
          </w:tcPr>
          <w:p>
            <w:r/>
            <w:r>
              <w:rPr>
                <w:rFonts w:ascii="Arial" w:hAnsi="Arial"/>
                <w:b/>
                <w:sz w:val="19"/>
              </w:rPr>
              <w:t>Source</w:t>
            </w:r>
          </w:p>
        </w:tc>
        <w:tc>
          <w:tcPr>
            <w:tcW w:type="dxa" w:w="4535"/>
            <w:vAlign w:val="top"/>
            <w:shd w:fill="FCE4D6"/>
          </w:tcPr>
          <w:p>
            <w:r/>
            <w:r>
              <w:rPr>
                <w:rFonts w:ascii="Arial" w:hAnsi="Arial"/>
                <w:b/>
                <w:sz w:val="19"/>
              </w:rPr>
              <w:t>Statut / apport principal</w:t>
            </w:r>
          </w:p>
        </w:tc>
      </w:tr>
      <w:tr>
        <w:trPr>
          <w:cantSplit/>
        </w:trPr>
        <w:tc>
          <w:tcPr>
            <w:tcW w:type="dxa" w:w="2835"/>
            <w:vAlign w:val="top"/>
          </w:tcPr>
          <w:p>
            <w:r/>
            <w:r>
              <w:rPr>
                <w:rFonts w:ascii="Arial" w:hAnsi="Arial"/>
                <w:b w:val="0"/>
                <w:sz w:val="19"/>
              </w:rPr>
              <w:t>SST / DUERP</w:t>
            </w:r>
          </w:p>
        </w:tc>
        <w:tc>
          <w:tcPr>
            <w:tcW w:type="dxa" w:w="2835"/>
            <w:vAlign w:val="top"/>
          </w:tcPr>
          <w:p>
            <w:r/>
            <w:r>
              <w:rPr>
                <w:rFonts w:ascii="Arial" w:hAnsi="Arial"/>
                <w:b w:val="0"/>
                <w:sz w:val="19"/>
              </w:rPr>
              <w:t>Ministère du Travail</w:t>
            </w:r>
          </w:p>
        </w:tc>
        <w:tc>
          <w:tcPr>
            <w:tcW w:type="dxa" w:w="4535"/>
            <w:vAlign w:val="top"/>
          </w:tcPr>
          <w:p>
            <w:r/>
            <w:r>
              <w:rPr>
                <w:rFonts w:ascii="Arial" w:hAnsi="Arial"/>
                <w:b w:val="0"/>
                <w:sz w:val="19"/>
              </w:rPr>
              <w:t>Obligation d’évaluer les risques et règles relatives au DUERP.</w:t>
            </w:r>
          </w:p>
        </w:tc>
      </w:tr>
      <w:tr>
        <w:trPr>
          <w:cantSplit/>
        </w:trPr>
        <w:tc>
          <w:tcPr>
            <w:tcW w:type="dxa" w:w="2835"/>
            <w:vAlign w:val="top"/>
          </w:tcPr>
          <w:p>
            <w:r/>
            <w:r>
              <w:rPr>
                <w:rFonts w:ascii="Arial" w:hAnsi="Arial"/>
                <w:b w:val="0"/>
                <w:sz w:val="19"/>
              </w:rPr>
              <w:t>Données personnelles</w:t>
            </w:r>
          </w:p>
        </w:tc>
        <w:tc>
          <w:tcPr>
            <w:tcW w:type="dxa" w:w="2835"/>
            <w:vAlign w:val="top"/>
          </w:tcPr>
          <w:p>
            <w:r/>
            <w:r>
              <w:rPr>
                <w:rFonts w:ascii="Arial" w:hAnsi="Arial"/>
                <w:b w:val="0"/>
                <w:sz w:val="19"/>
              </w:rPr>
              <w:t>CNIL</w:t>
            </w:r>
          </w:p>
        </w:tc>
        <w:tc>
          <w:tcPr>
            <w:tcW w:type="dxa" w:w="4535"/>
            <w:vAlign w:val="top"/>
          </w:tcPr>
          <w:p>
            <w:r/>
            <w:r>
              <w:rPr>
                <w:rFonts w:ascii="Arial" w:hAnsi="Arial"/>
                <w:b w:val="0"/>
                <w:sz w:val="19"/>
              </w:rPr>
              <w:t>Obligations en cas de violation de données.</w:t>
            </w:r>
          </w:p>
        </w:tc>
      </w:tr>
      <w:tr>
        <w:trPr>
          <w:cantSplit/>
        </w:trPr>
        <w:tc>
          <w:tcPr>
            <w:tcW w:type="dxa" w:w="2835"/>
            <w:vAlign w:val="top"/>
          </w:tcPr>
          <w:p>
            <w:r/>
            <w:r>
              <w:rPr>
                <w:rFonts w:ascii="Arial" w:hAnsi="Arial"/>
                <w:b w:val="0"/>
                <w:sz w:val="19"/>
              </w:rPr>
              <w:t>Cybersécurité</w:t>
            </w:r>
          </w:p>
        </w:tc>
        <w:tc>
          <w:tcPr>
            <w:tcW w:type="dxa" w:w="2835"/>
            <w:vAlign w:val="top"/>
          </w:tcPr>
          <w:p>
            <w:r/>
            <w:r>
              <w:rPr>
                <w:rFonts w:ascii="Arial" w:hAnsi="Arial"/>
                <w:b w:val="0"/>
                <w:sz w:val="19"/>
              </w:rPr>
              <w:t>ANSSI / CERT-FR</w:t>
            </w:r>
          </w:p>
        </w:tc>
        <w:tc>
          <w:tcPr>
            <w:tcW w:type="dxa" w:w="4535"/>
            <w:vAlign w:val="top"/>
          </w:tcPr>
          <w:p>
            <w:r/>
            <w:r>
              <w:rPr>
                <w:rFonts w:ascii="Arial" w:hAnsi="Arial"/>
                <w:b w:val="0"/>
                <w:sz w:val="19"/>
              </w:rPr>
              <w:t>Recommandations de sécurité et alertes techniques.</w:t>
            </w:r>
          </w:p>
        </w:tc>
      </w:tr>
      <w:tr>
        <w:trPr>
          <w:cantSplit/>
        </w:trPr>
        <w:tc>
          <w:tcPr>
            <w:tcW w:type="dxa" w:w="2835"/>
            <w:vAlign w:val="top"/>
          </w:tcPr>
          <w:p>
            <w:r/>
            <w:r>
              <w:rPr>
                <w:rFonts w:ascii="Arial" w:hAnsi="Arial"/>
                <w:b w:val="0"/>
                <w:sz w:val="19"/>
              </w:rPr>
              <w:t>REP textiles</w:t>
            </w:r>
          </w:p>
        </w:tc>
        <w:tc>
          <w:tcPr>
            <w:tcW w:type="dxa" w:w="2835"/>
            <w:vAlign w:val="top"/>
          </w:tcPr>
          <w:p>
            <w:r>
              <w:t>Ministère de la Transition écologique / ADEME</w:t>
            </w:r>
          </w:p>
        </w:tc>
        <w:tc>
          <w:tcPr>
            <w:tcW w:type="dxa" w:w="4535"/>
            <w:vAlign w:val="top"/>
          </w:tcPr>
          <w:p>
            <w:r>
              <w:t>Obligations applicables aux producteurs concernés et évolutions de la filière REP TLC.</w:t>
            </w:r>
          </w:p>
        </w:tc>
      </w:tr>
      <w:tr>
        <w:trPr>
          <w:cantSplit/>
        </w:trPr>
        <w:tc>
          <w:tcPr>
            <w:tcW w:type="dxa" w:w="2835"/>
            <w:vAlign w:val="top"/>
          </w:tcPr>
          <w:p>
            <w:r/>
            <w:r>
              <w:rPr>
                <w:rFonts w:ascii="Arial" w:hAnsi="Arial"/>
                <w:b w:val="0"/>
                <w:sz w:val="19"/>
              </w:rPr>
              <w:t>Affichage environnemental textile</w:t>
            </w:r>
          </w:p>
        </w:tc>
        <w:tc>
          <w:tcPr>
            <w:tcW w:type="dxa" w:w="2835"/>
            <w:vAlign w:val="top"/>
          </w:tcPr>
          <w:p>
            <w:r/>
            <w:r>
              <w:rPr>
                <w:rFonts w:ascii="Arial" w:hAnsi="Arial"/>
                <w:b w:val="0"/>
                <w:sz w:val="19"/>
              </w:rPr>
              <w:t>Ministère de la Transition écologique</w:t>
            </w:r>
          </w:p>
        </w:tc>
        <w:tc>
          <w:tcPr>
            <w:tcW w:type="dxa" w:w="4535"/>
            <w:vAlign w:val="top"/>
          </w:tcPr>
          <w:p>
            <w:r/>
            <w:r>
              <w:rPr>
                <w:rFonts w:ascii="Arial" w:hAnsi="Arial"/>
                <w:b w:val="0"/>
                <w:sz w:val="19"/>
              </w:rPr>
              <w:t>Dispositif réglementé mais volontaire pour les marques.</w:t>
            </w:r>
          </w:p>
        </w:tc>
      </w:tr>
      <w:tr>
        <w:trPr>
          <w:cantSplit/>
        </w:trPr>
        <w:tc>
          <w:tcPr>
            <w:tcW w:type="dxa" w:w="2835"/>
            <w:vAlign w:val="top"/>
          </w:tcPr>
          <w:p>
            <w:r/>
            <w:r>
              <w:rPr>
                <w:rFonts w:ascii="Arial" w:hAnsi="Arial"/>
                <w:b w:val="0"/>
                <w:sz w:val="19"/>
              </w:rPr>
              <w:t>Origine France Garantie</w:t>
            </w:r>
          </w:p>
        </w:tc>
        <w:tc>
          <w:tcPr>
            <w:tcW w:type="dxa" w:w="2835"/>
            <w:vAlign w:val="top"/>
          </w:tcPr>
          <w:p>
            <w:r>
              <w:t>Origine France Garantie</w:t>
            </w:r>
          </w:p>
        </w:tc>
        <w:tc>
          <w:tcPr>
            <w:tcW w:type="dxa" w:w="4535"/>
            <w:vAlign w:val="top"/>
          </w:tcPr>
          <w:p>
            <w:r>
              <w:t>Certification volontaire et référentiel à respecter pour la conserver.</w:t>
            </w:r>
          </w:p>
        </w:tc>
      </w:tr>
    </w:tbl>
    <w:p>
      <w:pPr>
        <w:pStyle w:val="Heading1"/>
      </w:pPr>
      <w:r>
        <w:t>5. Passer de la source au dispositif de veille</w:t>
      </w:r>
    </w:p>
    <w:p>
      <w:pPr>
        <w:pStyle w:val="ListNumber"/>
      </w:pPr>
      <w:r>
        <w:t>Reliez le sujet surveillé à un risque précis de votre matrice.</w:t>
      </w:r>
    </w:p>
    <w:p>
      <w:pPr>
        <w:pStyle w:val="ListNumber"/>
      </w:pPr>
      <w:r>
        <w:t>Choisissez le type de veille puis qualifiez le statut de l’information.</w:t>
      </w:r>
    </w:p>
    <w:p>
      <w:pPr>
        <w:pStyle w:val="ListNumber"/>
      </w:pPr>
      <w:r>
        <w:t>Listez plusieurs sources mobilisables, puis retenez une source adaptée au dispositif.</w:t>
      </w:r>
    </w:p>
    <w:p>
      <w:pPr>
        <w:pStyle w:val="ListNumber"/>
      </w:pPr>
      <w:r>
        <w:t>Définissez ce qui doit être contrôlé : mots-clés, indicateur, texte, référentiel, situation d’un partenaire…</w:t>
      </w:r>
    </w:p>
    <w:p>
      <w:pPr>
        <w:pStyle w:val="ListNumber"/>
      </w:pPr>
      <w:r>
        <w:t>Fixez une fréquence cohérente avec la vitesse d’évolution du sujet.</w:t>
      </w:r>
    </w:p>
    <w:p>
      <w:pPr>
        <w:pStyle w:val="ListNumber"/>
      </w:pPr>
      <w:r>
        <w:t>Désignez le destinataire de l’information.</w:t>
      </w:r>
    </w:p>
    <w:p>
      <w:pPr>
        <w:pStyle w:val="ListNumber"/>
      </w:pPr>
      <w:r>
        <w:t>Définissez l’événement qui déclenche une alerte.</w:t>
      </w:r>
    </w:p>
    <w:p>
      <w:pPr>
        <w:pStyle w:val="ListNumber"/>
      </w:pPr>
      <w:r>
        <w:t>Précisez la preuve à conserver : copie, lien daté, capture, courriel, fiche de synthèse, version du référentiel…</w:t>
      </w:r>
    </w:p>
    <w:p>
      <w:pPr>
        <w:pStyle w:val="Heading1"/>
      </w:pPr>
      <w:r>
        <w:t>6. Pour la situation 1</w:t>
      </w:r>
    </w:p>
    <w:p>
      <w:r>
        <w:t>R09 suffit pour concevoir les dispositifs demandés. Vous n’avez pas à prouver que l’information est aujourd’hui à jour par une recherche libre. Si l’enseignant demande une actualisation, consultez alors la source retenue et datez votre vérification.</w:t>
      </w:r>
    </w:p>
    <w:p>
      <w:pPr>
        <w:pStyle w:val="Heading1"/>
      </w:pPr>
      <w:r>
        <w:t>7. Pour la situation 2 — vérifier la règle DUERP</w:t>
      </w:r>
    </w:p>
    <w:p>
      <w:pPr/>
      <w:r>
        <w:t>R09 vous aide à choisir la source ; pour la tâche 8, vérifiez ensuite la règle sur une source institutionnelle ciblée. Aucune recherche libre n’est attendue.</w:t>
      </w:r>
    </w:p>
    <w:p>
      <w:pPr/>
      <w:r>
        <w:t>1. Consultez le Code du travail, article R4121-2, ou la page DUERP du ministère du Travail pour les cas de mise à jour.</w:t>
      </w:r>
    </w:p>
    <w:p>
      <w:pPr/>
      <w:r>
        <w:t>2. Consultez l’article R4121-4 pour la conservation et l’accès aux versions successives.</w:t>
      </w:r>
    </w:p>
    <w:p>
      <w:pPr/>
      <w:r>
        <w:t>3. Relevez uniquement la règle utile au scénario, puis citez la source et la date de consultation.</w:t>
      </w:r>
    </w:p>
    <w:p>
      <w:pPr/>
      <w:r>
        <w:t>4. Comparez cette règle avec les informations nouvelles du registre R02 et l’extrait R03.</w:t>
      </w:r>
    </w:p>
    <w:p>
      <w:pPr>
        <w:pStyle w:val="Heading2"/>
      </w:pPr>
      <w:r>
        <w:t>8. Pour la situation 3 — qualifier une possible violation de données</w:t>
      </w:r>
    </w:p>
    <w:p>
      <w:r>
        <w:t>Pour la tâche 14, vérifiez la règle sur les pages officielles de la CNIL. L’objectif n’est pas de chercher librement sur Internet, mais d’identifier le critère de décision applicable à partir d’une source de référence.</w:t>
      </w:r>
    </w:p>
    <w:p>
      <w:r>
        <w:t>1. Vérifiez ce qui doit être documenté en interne lorsqu’une violation de données personnelles est constatée.</w:t>
      </w:r>
    </w:p>
    <w:p>
      <w:r>
        <w:t>2. Identifiez le critère qui rend une notification à la CNIL nécessaire et le délai maximal prévu.</w:t>
      </w:r>
    </w:p>
    <w:p>
      <w:r>
        <w:t>3. Identifiez le critère qui impose également d’informer les personnes concernées.</w:t>
      </w:r>
    </w:p>
    <w:p>
      <w:r>
        <w:t>4. Appliquez ensuite ces règles aux faits du scénario : déterminez d’abord si les éléments disponibles permettent de caractériser une violation de données personnelles, puis distinguez ce qui est confirmé, ce qui reste incertain et la décision qui doit être validée par la personne responsable.</w:t>
      </w:r>
    </w:p>
    <w:p>
      <w:r>
        <w:t>Attention : le risque à apprécier pour la notification RGPD concerne les droits et libertés des personnes. Il ne se confond pas avec le risque économique ou informatique pour l’entreprise.</w:t>
      </w:r>
    </w:p>
    <w:p>
      <w:r>
        <w:t>Pour la tâche 17, les sources ANSSI / Cybermalveillance peuvent être utilisées pour vérifier les premiers réflexes destinés aux salariés. Un salarié doit alerter et préserver les preuves ; il ne mène pas lui-même l’enquête technique et ne décide pas d’une notification réglementaire.</w:t>
      </w:r>
    </w:p>
    <w:p>
      <w:pPr>
        <w:pStyle w:val="Heading2"/>
      </w:pPr>
      <w:r>
        <w:t>Pour la tâche 16 — analyser les sauvegardes</w:t>
      </w:r>
    </w:p>
    <w:p>
      <w:r>
        <w:t>Utilisez le guide ANSSI / MesServicesCyber pour vérifier le repère 3-2-1 : trois copies distinctes des données au total (données en production + deux sauvegardes), sur deux supports différents, dont une copie hors ligne ou réellement isolée. Les tests réguliers de restauration sont indispensables pour vérifier que les sauvegardes sont exploitables.</w:t>
      </w:r>
    </w:p>
    <w:p>
      <w:r>
        <w:t>Ne concluez pas qu’une sauvegarde est isolée simplement parce qu’elle est dans le cloud ou chez un prestataire : cette propriété doit être explicitement documentée. Une fréquence de sauvegarde ne démontre pas non plus qu’une restauration fonctionne.</w:t>
      </w:r>
    </w:p>
    <w:p>
      <w:pPr>
        <w:pStyle w:val="Heading1"/>
      </w:pPr>
      <w:r>
        <w:t>Sources de référence à consulter si une vérification en ligne est demandée</w:t>
      </w:r>
    </w:p>
    <w:p>
      <w:pPr>
        <w:pStyle w:val="ListBullet"/>
      </w:pPr>
      <w:r>
        <w:t>Code du travail, art. R4121-2 — mise à jour du DUERP : https://www.legifrance.gouv.fr/codes/article_lc/LEGIARTI000045386446</w:t>
      </w:r>
    </w:p>
    <w:p>
      <w:pPr>
        <w:pStyle w:val="ListBullet"/>
      </w:pPr>
      <w:r>
        <w:t>Code du travail, art. R4121-4 — conservation / accès : rechercher l’article R4121-4 sur Légifrance.</w:t>
      </w:r>
    </w:p>
    <w:p>
      <w:pPr>
        <w:pStyle w:val="ListBullet"/>
      </w:pPr>
      <w:r>
        <w:rPr>
          <w:sz w:val="19"/>
        </w:rPr>
        <w:t>Ministère du Travail — DUERP</w:t>
      </w:r>
    </w:p>
    <w:p>
      <w:pPr>
        <w:pStyle w:val="ListBullet"/>
      </w:pPr>
      <w:r>
        <w:t>CNIL — violations de données : https://www.cnil.fr/fr/violations-de-donnees-personnelles-les-regles-suivre</w:t>
      </w:r>
    </w:p>
    <w:p>
      <w:pPr>
        <w:pStyle w:val="ListBullet"/>
      </w:pPr>
      <w:r>
        <w:t>CNIL — notifier une violation : https://www.cnil.fr/fr/services-en-ligne/notifier-une-violation-de-donnees-personnelles</w:t>
      </w:r>
    </w:p>
    <w:p>
      <w:pPr>
        <w:pStyle w:val="ListBullet"/>
      </w:pPr>
      <w:r>
        <w:t>ANSSI / MesServicesCyber — cybersécurité TPE/PME : https://messervices.cyber.gouv.fr/guides/la-cybersecurite-pour-les-tpepme-en-treize-questions</w:t>
      </w:r>
    </w:p>
    <w:p>
      <w:pPr>
        <w:pStyle w:val="ListBullet"/>
      </w:pPr>
      <w:r>
        <w:t>Cybermalveillance.gouv.fr — consignes collaborateurs : https://www.cybermalveillance.gouv.fr/tous-nos-contenus/bonnes-pratiques/cyberattaque-consignes-collaborateurs</w:t>
      </w:r>
    </w:p>
    <w:p>
      <w:pPr>
        <w:pStyle w:val="ListBullet"/>
      </w:pPr>
      <w:r>
        <w:t>Ministère de la Transition écologique — Produits textiles (REP TLC) : https://www.ecologie.gouv.fr/politiques-publiques/produits-textiles-tlc</w:t>
      </w:r>
    </w:p>
    <w:p>
      <w:pPr>
        <w:pStyle w:val="ListBullet"/>
      </w:pPr>
      <w:r>
        <w:t>Ministère de la Transition écologique — Affichage environnemental sur les vêtements : https://www.ecologie.gouv.fr/politiques-publiques/affichage-environnemental-vetements</w:t>
      </w:r>
    </w:p>
    <w:p>
      <w:pPr>
        <w:pStyle w:val="ListBullet"/>
      </w:pPr>
      <w:r>
        <w:rPr>
          <w:sz w:val="20"/>
        </w:rPr>
        <w:t>Origine France Garantie — Cahier des charges et référentiel : https://www.originefrancegarantie.fr/cahier-des-charges</w:t>
      </w:r>
    </w:p>
    <w:p>
      <w:pPr>
        <w:pageBreakBefore/>
      </w:pPr>
      <w:r>
        <w:rPr>
          <w:b/>
          <w:sz w:val="24"/>
        </w:rPr>
        <w:t>9. Pour la situation 5 — actualiser une veille existante</w:t>
      </w:r>
    </w:p>
    <w:p>
      <w:r>
        <w:rPr>
          <w:sz w:val="20"/>
        </w:rPr>
        <w:t>Le tableau ci-dessous constitue un point de départ pédagogique vérifié le 20/09/2026. Votre travail consiste à consulter de nouveau la source officielle à la date de réalisation, à identifier une évolution éventuelle et à tracer la vérification. L’absence d’évolution identifiée est un résultat valable si elle est datée et justifiée.</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t>Sujet</w:t>
            </w:r>
          </w:p>
        </w:tc>
        <w:tc>
          <w:tcPr>
            <w:tcW w:type="dxa" w:w="2606"/>
          </w:tcPr>
          <w:p>
            <w:r>
              <w:t>Point de départ au 20/09/2026</w:t>
            </w:r>
          </w:p>
        </w:tc>
        <w:tc>
          <w:tcPr>
            <w:tcW w:type="dxa" w:w="2606"/>
          </w:tcPr>
          <w:p>
            <w:r>
              <w:t>Statut à qualifier</w:t>
            </w:r>
          </w:p>
        </w:tc>
        <w:tc>
          <w:tcPr>
            <w:tcW w:type="dxa" w:w="2606"/>
          </w:tcPr>
          <w:p>
            <w:r>
              <w:t>Source officielle de référence</w:t>
            </w:r>
          </w:p>
        </w:tc>
      </w:tr>
      <w:tr>
        <w:tc>
          <w:tcPr>
            <w:tcW w:type="dxa" w:w="2606"/>
          </w:tcPr>
          <w:p>
            <w:r>
              <w:t>REP textiles / TLC</w:t>
            </w:r>
          </w:p>
        </w:tc>
        <w:tc>
          <w:tcPr>
            <w:tcW w:type="dxa" w:w="2606"/>
          </w:tcPr>
          <w:p>
            <w:r>
              <w:t>La filière REP textiles, linge de maison et chaussures est en vigueur. Le cahier des charges 2023-2028 reste le cadre de référence présenté par le ministère. Des travaux de refondation de la filière ont été annoncés en 2026 : vérifiez si de nouvelles règles ou modalités sont entrées en vigueur à la date de votre consultation.</w:t>
            </w:r>
          </w:p>
        </w:tc>
        <w:tc>
          <w:tcPr>
            <w:tcW w:type="dxa" w:w="2606"/>
          </w:tcPr>
          <w:p>
            <w:r>
              <w:t>Obligation légale / réglementaire</w:t>
            </w:r>
          </w:p>
        </w:tc>
        <w:tc>
          <w:tcPr>
            <w:tcW w:type="dxa" w:w="2606"/>
          </w:tcPr>
          <w:p>
            <w:r>
              <w:t>Ministère de la Transition écologique — Produits textiles (TLC)</w:t>
            </w:r>
          </w:p>
        </w:tc>
      </w:tr>
      <w:tr>
        <w:tc>
          <w:tcPr>
            <w:tcW w:type="dxa" w:w="2606"/>
          </w:tcPr>
          <w:p>
            <w:r>
              <w:t>Affichage du coût environnemental des vêtements</w:t>
            </w:r>
          </w:p>
        </w:tc>
        <w:tc>
          <w:tcPr>
            <w:tcW w:type="dxa" w:w="2606"/>
          </w:tcPr>
          <w:p>
            <w:r>
              <w:t>Le dispositif est encadré réglementairement mais reste volontaire pour les marques. Son déploiement a commencé à l’automne 2025. Vérifiez la méthode, la signalétique et les éventuelles évolutions publiées depuis.</w:t>
            </w:r>
          </w:p>
        </w:tc>
        <w:tc>
          <w:tcPr>
            <w:tcW w:type="dxa" w:w="2606"/>
          </w:tcPr>
          <w:p>
            <w:r>
              <w:t>Autre dispositif volontaire encadré</w:t>
            </w:r>
          </w:p>
        </w:tc>
        <w:tc>
          <w:tcPr>
            <w:tcW w:type="dxa" w:w="2606"/>
          </w:tcPr>
          <w:p>
            <w:r>
              <w:t>Ministère de la Transition écologique — Affichage environnemental sur les vêtements</w:t>
            </w:r>
          </w:p>
        </w:tc>
      </w:tr>
      <w:tr>
        <w:tc>
          <w:tcPr>
            <w:tcW w:type="dxa" w:w="2606"/>
          </w:tcPr>
          <w:p>
            <w:r>
              <w:t>Origine France Garantie</w:t>
            </w:r>
          </w:p>
        </w:tc>
        <w:tc>
          <w:tcPr>
            <w:tcW w:type="dxa" w:w="2606"/>
          </w:tcPr>
          <w:p>
            <w:r>
              <w:t>La certification est volontaire. Le site OFG présente un référentiel socle V16 et des annexes sectorielles, dont textile. Vérifiez la version applicable et les éventuelles évolutions du référentiel.</w:t>
            </w:r>
          </w:p>
        </w:tc>
        <w:tc>
          <w:tcPr>
            <w:tcW w:type="dxa" w:w="2606"/>
          </w:tcPr>
          <w:p>
            <w:r>
              <w:t>Certification volontaire</w:t>
            </w:r>
          </w:p>
        </w:tc>
        <w:tc>
          <w:tcPr>
            <w:tcW w:type="dxa" w:w="2606"/>
          </w:tcPr>
          <w:p>
            <w:r>
              <w:t>Origine France Garantie — Cahier des charges</w:t>
            </w:r>
          </w:p>
        </w:tc>
      </w:tr>
    </w:tbl>
    <w:p>
      <w:r>
        <w:rPr>
          <w:b/>
          <w:sz w:val="20"/>
        </w:rPr>
        <w:t>Méthode de mise à jour :</w:t>
      </w:r>
    </w:p>
    <w:p>
      <w:pPr/>
      <w:r>
        <w:rPr>
          <w:sz w:val="20"/>
        </w:rPr>
        <w:t>1. Ouvrez la source officielle indiquée et relevez la date de consultation.</w:t>
      </w:r>
    </w:p>
    <w:p>
      <w:pPr/>
      <w:r>
        <w:rPr>
          <w:sz w:val="20"/>
        </w:rPr>
        <w:t>2. Comparez l’état actuel au point de départ R09 : évolution identifiée, absence d’évolution ou information à confirmer.</w:t>
      </w:r>
    </w:p>
    <w:p>
      <w:pPr/>
      <w:r>
        <w:rPr>
          <w:sz w:val="20"/>
        </w:rPr>
        <w:t>3. Expliquez uniquement la conséquence utile pour la PME ; ne recopiez pas toute la page source.</w:t>
      </w:r>
    </w:p>
    <w:p>
      <w:pPr/>
      <w:r>
        <w:rPr>
          <w:sz w:val="20"/>
        </w:rPr>
        <w:t>4. Conservez une preuve datée : lien, capture, PDF, version du référentiel ou fiche de synthèse.</w:t>
      </w:r>
    </w:p>
    <w:p>
      <w:pPr/>
      <w:r>
        <w:rPr>
          <w:sz w:val="20"/>
        </w:rPr>
        <w:t>5. Identifiez la personne à alerter si une décision est nécessaire.</w:t>
      </w:r>
    </w:p>
    <w:p>
      <w:pPr/>
      <w:r>
        <w:rPr>
          <w:sz w:val="20"/>
        </w:rPr>
        <w:t>6. Fixez une prochaine date de vérification cohérente avec la vitesse d’évolution du sujet.</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148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1482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