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1(a)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(ci)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(e)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(f)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(g)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(h)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3(a)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(bi)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(ci)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(iii)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4(ai)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(iii)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(iv)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5(ai)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(iii)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6(a)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(di)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