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thử nghiệm</w:t>
      </w:r>
    </w:p>
    <w:p>
      <w:r>
        <w:t>Doanh thu quý 3 đạt 1.250 triệu đồng, tăng 12% so với quý 2.</w:t>
      </w:r>
    </w:p>
    <w:p>
      <w:r>
        <w:t xml:space="preserve">Đoạn có </w:t>
      </w:r>
      <w:r>
        <w:rPr>
          <w:b/>
        </w:rPr>
        <w:t>chữ đậm</w:t>
      </w:r>
      <w:r>
        <w:t xml:space="preserve"> &amp; ký tự đặc biệt &lt;tag&gt;.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Khu vực</w:t>
            </w:r>
          </w:p>
        </w:tc>
        <w:tc>
          <w:tcPr>
            <w:tcW w:type="dxa" w:w="4320"/>
          </w:tcPr>
          <w:p>
            <w:r>
              <w:t>Doanh thu</w:t>
            </w:r>
          </w:p>
        </w:tc>
      </w:tr>
      <w:tr>
        <w:tc>
          <w:tcPr>
            <w:tcW w:type="dxa" w:w="4320"/>
          </w:tcPr>
          <w:p>
            <w:r>
              <w:t>Miền Nam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