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website-accessibility-report"/>
    <w:p>
      <w:pPr>
        <w:pStyle w:val="Heading1"/>
      </w:pPr>
      <w:r>
        <w:t xml:space="preserve">Website Accessibility Report</w:t>
      </w:r>
    </w:p>
    <w:p>
      <w:pPr>
        <w:pStyle w:val="FirstParagraph"/>
      </w:pPr>
      <w:r>
        <w:rPr>
          <w:b/>
          <w:bCs/>
        </w:rPr>
        <w:t xml:space="preserve">SuperCrab Cajun Seafood</w:t>
      </w:r>
      <w:r>
        <w:t xml:space="preserve"> </w:t>
      </w:r>
      <w:r>
        <w:t xml:space="preserve">— Google Lighthouse automated audit, production build, home page.</w:t>
      </w:r>
      <w:r>
        <w:t xml:space="preserve"> </w:t>
      </w:r>
      <w:r>
        <w:rPr>
          <w:b/>
          <w:bCs/>
        </w:rPr>
        <w:t xml:space="preserve">August 28, 2026</w:t>
      </w:r>
    </w:p>
    <w:bookmarkStart w:id="9" w:name="overall-result"/>
    <w:p>
      <w:pPr>
        <w:pStyle w:val="Heading2"/>
      </w:pPr>
      <w:r>
        <w:t xml:space="preserve">Overall Result</w:t>
      </w:r>
    </w:p>
    <w:p>
      <w:pPr>
        <w:pStyle w:val="FirstParagraph"/>
      </w:pPr>
      <w:r>
        <w:rPr>
          <w:b/>
          <w:bCs/>
        </w:rPr>
        <w:t xml:space="preserve">Score: 89 / 100</w:t>
      </w:r>
      <w:r>
        <w:t xml:space="preserve"> </w:t>
      </w:r>
      <w:r>
        <w:t xml:space="preserve">— a strong baseline. Three issues were identified, all low-effort fixes</w:t>
      </w:r>
      <w:r>
        <w:t xml:space="preserve"> </w:t>
      </w:r>
      <w:r>
        <w:t xml:space="preserve">with no visible impact on the site’s design, estimated at roughly one hour of work in total.</w:t>
      </w:r>
    </w:p>
    <w:bookmarkEnd w:id="9"/>
    <w:bookmarkStart w:id="10" w:name="findings"/>
    <w:p>
      <w:pPr>
        <w:pStyle w:val="Heading2"/>
      </w:pPr>
      <w:r>
        <w:t xml:space="preserve">Findings</w:t>
      </w:r>
    </w:p>
    <w:p>
      <w:pPr>
        <w:pStyle w:val="FirstParagraph"/>
      </w:pPr>
      <w:r>
        <w:rPr>
          <w:b/>
          <w:bCs/>
        </w:rPr>
        <w:t xml:space="preserve">1. Hidden mobile menu remains keyboard-reachable.</w:t>
      </w:r>
      <w:r>
        <w:t xml:space="preserve"> </w:t>
      </w:r>
      <w:r>
        <w:t xml:space="preserve">When the mobile menu is closed, its</w:t>
      </w:r>
      <w:r>
        <w:t xml:space="preserve"> </w:t>
      </w:r>
      <w:r>
        <w:t xml:space="preserve">links can still be reached with the keyboard, so keyboard and screen-reader users can land</w:t>
      </w:r>
      <w:r>
        <w:t xml:space="preserve"> </w:t>
      </w:r>
      <w:r>
        <w:t xml:space="preserve">on invisible links — a confusing, broken navigation experience.</w:t>
      </w:r>
      <w:r>
        <w:t xml:space="preserve"> </w:t>
      </w:r>
      <w:r>
        <w:rPr>
          <w:i/>
          <w:iCs/>
        </w:rPr>
        <w:t xml:space="preserve">Fix:</w:t>
      </w:r>
      <w:r>
        <w:t xml:space="preserve"> </w:t>
      </w:r>
      <w:r>
        <w:t xml:space="preserve">a one-line code change to fully disable the menu while it is closed.</w:t>
      </w:r>
    </w:p>
    <w:p>
      <w:pPr>
        <w:pStyle w:val="BodyText"/>
      </w:pPr>
      <w:r>
        <w:rPr>
          <w:b/>
          <w:bCs/>
        </w:rPr>
        <w:t xml:space="preserve">2. Footer text contrast is below standard.</w:t>
      </w:r>
      <w:r>
        <w:t xml:space="preserve"> </w:t>
      </w:r>
      <w:r>
        <w:t xml:space="preserve">The red</w:t>
      </w:r>
      <w:r>
        <w:t xml:space="preserve"> </w:t>
      </w:r>
      <w:r>
        <w:t xml:space="preserve">“today”</w:t>
      </w:r>
      <w:r>
        <w:t xml:space="preserve"> </w:t>
      </w:r>
      <w:r>
        <w:t xml:space="preserve">highlight in the hours list</w:t>
      </w:r>
      <w:r>
        <w:t xml:space="preserve"> </w:t>
      </w:r>
      <w:r>
        <w:t xml:space="preserve">and the white text on the red copyright bar fall just short of WCAG contrast minimums</w:t>
      </w:r>
      <w:r>
        <w:t xml:space="preserve"> </w:t>
      </w:r>
      <w:r>
        <w:t xml:space="preserve">(measured 3.7:1 and 4.4:1 against the required 4.5:1), making them hard to read for</w:t>
      </w:r>
      <w:r>
        <w:t xml:space="preserve"> </w:t>
      </w:r>
      <w:r>
        <w:t xml:space="preserve">low-vision users.</w:t>
      </w:r>
      <w:r>
        <w:t xml:space="preserve"> </w:t>
      </w:r>
      <w:r>
        <w:rPr>
          <w:i/>
          <w:iCs/>
        </w:rPr>
        <w:t xml:space="preserve">Fix:</w:t>
      </w:r>
      <w:r>
        <w:t xml:space="preserve"> </w:t>
      </w:r>
      <w:r>
        <w:t xml:space="preserve">slightly adjust two shades of the brand red — visually near-identical to the current design.</w:t>
      </w:r>
    </w:p>
    <w:p>
      <w:pPr>
        <w:pStyle w:val="BodyText"/>
      </w:pPr>
      <w:r>
        <w:rPr>
          <w:b/>
          <w:bCs/>
        </w:rPr>
        <w:t xml:space="preserve">3. Footer headings skip levels.</w:t>
      </w:r>
      <w:r>
        <w:t xml:space="preserve"> </w:t>
      </w:r>
      <w:r>
        <w:t xml:space="preserve">Screen-reader users navigate by heading structure; the</w:t>
      </w:r>
      <w:r>
        <w:t xml:space="preserve"> </w:t>
      </w:r>
      <w:r>
        <w:t xml:space="preserve">footer jumps from heading level 2 to level 4, making the page harder to traverse with</w:t>
      </w:r>
      <w:r>
        <w:t xml:space="preserve"> </w:t>
      </w:r>
      <w:r>
        <w:t xml:space="preserve">assistive technology.</w:t>
      </w:r>
      <w:r>
        <w:t xml:space="preserve"> </w:t>
      </w:r>
      <w:r>
        <w:rPr>
          <w:i/>
          <w:iCs/>
        </w:rPr>
        <w:t xml:space="preserve">Fix:</w:t>
      </w:r>
      <w:r>
        <w:t xml:space="preserve"> </w:t>
      </w:r>
      <w:r>
        <w:t xml:space="preserve">change the footer heading tags to the correct level; visual styling is unchanged.</w:t>
      </w:r>
    </w:p>
    <w:bookmarkEnd w:id="10"/>
    <w:bookmarkStart w:id="11" w:name="why-this-matters"/>
    <w:p>
      <w:pPr>
        <w:pStyle w:val="Heading2"/>
      </w:pPr>
      <w:r>
        <w:t xml:space="preserve">Why This Matters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experience:</w:t>
      </w:r>
      <w:r>
        <w:t xml:space="preserve"> </w:t>
      </w:r>
      <w:r>
        <w:t xml:space="preserve">the site works for customers using keyboards, screen readers, or with low vision.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strengthens WCAG 2.1 AA / ADA compliance posture, reducing legal exposure.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Quality:</w:t>
      </w:r>
      <w:r>
        <w:t xml:space="preserve"> </w:t>
      </w:r>
      <w:r>
        <w:t xml:space="preserve">the audit is now a repeatable project task (</w:t>
      </w:r>
      <w:r>
        <w:rPr>
          <w:rStyle w:val="VerbatimChar"/>
        </w:rPr>
        <w:t xml:space="preserve">pnpm lighthouse</w:t>
      </w:r>
      <w:r>
        <w:t xml:space="preserve">), so future changes can be checked before release.</w:t>
      </w:r>
    </w:p>
    <w:bookmarkEnd w:id="11"/>
    <w:bookmarkStart w:id="12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Approve the three fixes and re-run the audit to confirm a clean result. Estimated effort:</w:t>
      </w:r>
      <w:r>
        <w:t xml:space="preserve"> </w:t>
      </w:r>
      <w:r>
        <w:t xml:space="preserve">about one hour, with no design review required.</w:t>
      </w:r>
    </w:p>
    <w:bookmarkEnd w:id="12"/>
    <w:bookmarkEnd w:id="13"/>
    <w:sectPr>
      <w:pgSz w:h="15840" w:w="12240"/>
      <w:pgMar w:bottom="1080" w:footer="720" w:gutter="0" w:header="720" w:left="1080" w:right="1080" w:top="108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2026-08-28T21:36:25Z</dcterms:created>
  <dcterms:modified xsi:type="dcterms:W3CDTF">2026-08-28T21:36:25Z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