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C3001" w14:textId="77777777" w:rsidR="00E63002" w:rsidRPr="00AF018E" w:rsidRDefault="00E63002" w:rsidP="00E63002">
      <w:pPr>
        <w:pStyle w:val="Heading1"/>
      </w:pPr>
      <w:bookmarkStart w:id="0" w:name="_Hlk179293338"/>
      <w:bookmarkStart w:id="1" w:name="_Toc201044707"/>
      <w:r>
        <w:t>Course Description</w:t>
      </w:r>
      <w:bookmarkEnd w:id="1"/>
    </w:p>
    <w:p w14:paraId="2E0A7260" w14:textId="77777777" w:rsidR="00E63002" w:rsidRPr="00931C5B" w:rsidRDefault="00E63002" w:rsidP="00E63002">
      <w:pPr>
        <w:ind w:right="540"/>
        <w:rPr>
          <w:rFonts w:eastAsiaTheme="minorHAnsi"/>
        </w:rPr>
      </w:pPr>
      <w:r w:rsidRPr="00931C5B">
        <w:rPr>
          <w:rFonts w:eastAsiaTheme="minorHAnsi"/>
        </w:rPr>
        <w:t>This course provides a </w:t>
      </w:r>
      <w:r w:rsidRPr="00931C5B">
        <w:rPr>
          <w:rFonts w:eastAsiaTheme="minorHAnsi"/>
          <w:b/>
          <w:bCs/>
        </w:rPr>
        <w:t>foundational introduction</w:t>
      </w:r>
      <w:r w:rsidRPr="00931C5B">
        <w:rPr>
          <w:rFonts w:eastAsiaTheme="minorHAnsi"/>
        </w:rPr>
        <w:t> to web authoring, blending </w:t>
      </w:r>
      <w:r w:rsidRPr="00931C5B">
        <w:rPr>
          <w:rFonts w:eastAsiaTheme="minorHAnsi"/>
          <w:b/>
          <w:bCs/>
        </w:rPr>
        <w:t>technical skills</w:t>
      </w:r>
      <w:r w:rsidRPr="00931C5B">
        <w:rPr>
          <w:rFonts w:eastAsiaTheme="minorHAnsi"/>
        </w:rPr>
        <w:t> with </w:t>
      </w:r>
      <w:r w:rsidRPr="00931C5B">
        <w:rPr>
          <w:rFonts w:eastAsiaTheme="minorHAnsi"/>
          <w:b/>
          <w:bCs/>
        </w:rPr>
        <w:t>critical inquiry</w:t>
      </w:r>
      <w:r w:rsidRPr="00931C5B">
        <w:rPr>
          <w:rFonts w:eastAsiaTheme="minorHAnsi"/>
        </w:rPr>
        <w:t> into digital culture. Students will explore </w:t>
      </w:r>
      <w:r w:rsidRPr="00931C5B">
        <w:rPr>
          <w:rFonts w:eastAsiaTheme="minorHAnsi"/>
          <w:b/>
          <w:bCs/>
        </w:rPr>
        <w:t>HTML, CSS, and basic JavaScript</w:t>
      </w:r>
      <w:r w:rsidRPr="00931C5B">
        <w:rPr>
          <w:rFonts w:eastAsiaTheme="minorHAnsi"/>
        </w:rPr>
        <w:t> to create and structure web content while considering </w:t>
      </w:r>
      <w:r w:rsidRPr="00931C5B">
        <w:rPr>
          <w:rFonts w:eastAsiaTheme="minorHAnsi"/>
          <w:b/>
          <w:bCs/>
        </w:rPr>
        <w:t>design principles</w:t>
      </w:r>
      <w:r w:rsidRPr="00931C5B">
        <w:rPr>
          <w:rFonts w:eastAsiaTheme="minorHAnsi"/>
        </w:rPr>
        <w:t>, </w:t>
      </w:r>
      <w:r w:rsidRPr="00931C5B">
        <w:rPr>
          <w:rFonts w:eastAsiaTheme="minorHAnsi"/>
          <w:b/>
          <w:bCs/>
        </w:rPr>
        <w:t>accessibility</w:t>
      </w:r>
      <w:r w:rsidRPr="00931C5B">
        <w:rPr>
          <w:rFonts w:eastAsiaTheme="minorHAnsi"/>
        </w:rPr>
        <w:t>, and </w:t>
      </w:r>
      <w:r w:rsidRPr="00931C5B">
        <w:rPr>
          <w:rFonts w:eastAsiaTheme="minorHAnsi"/>
          <w:b/>
          <w:bCs/>
        </w:rPr>
        <w:t>user experience</w:t>
      </w:r>
      <w:r w:rsidRPr="00931C5B">
        <w:rPr>
          <w:rFonts w:eastAsiaTheme="minorHAnsi"/>
        </w:rPr>
        <w:t>. Through </w:t>
      </w:r>
      <w:r w:rsidRPr="00931C5B">
        <w:rPr>
          <w:rFonts w:eastAsiaTheme="minorHAnsi"/>
          <w:b/>
          <w:bCs/>
        </w:rPr>
        <w:t>hands-on projects</w:t>
      </w:r>
      <w:r w:rsidRPr="00931C5B">
        <w:rPr>
          <w:rFonts w:eastAsiaTheme="minorHAnsi"/>
        </w:rPr>
        <w:t>, students will develop functional and aesthetically engaging websites while examining the broader implications of </w:t>
      </w:r>
      <w:r w:rsidRPr="00931C5B">
        <w:rPr>
          <w:rFonts w:eastAsiaTheme="minorHAnsi"/>
          <w:b/>
          <w:bCs/>
        </w:rPr>
        <w:t>digital authorship</w:t>
      </w:r>
      <w:r w:rsidRPr="00931C5B">
        <w:rPr>
          <w:rFonts w:eastAsiaTheme="minorHAnsi"/>
        </w:rPr>
        <w:t> in contemporary society. </w:t>
      </w:r>
      <w:r w:rsidRPr="00931C5B">
        <w:rPr>
          <w:rFonts w:eastAsiaTheme="minorHAnsi"/>
          <w:b/>
          <w:bCs/>
        </w:rPr>
        <w:t>No prior coding experience is required.</w:t>
      </w:r>
      <w:r w:rsidRPr="00931C5B">
        <w:rPr>
          <w:rFonts w:eastAsiaTheme="minorHAnsi"/>
        </w:rPr>
        <w:t> By the end of the course, students will have a strong foundation in </w:t>
      </w:r>
      <w:r w:rsidRPr="00931C5B">
        <w:rPr>
          <w:rFonts w:eastAsiaTheme="minorHAnsi"/>
          <w:b/>
          <w:bCs/>
        </w:rPr>
        <w:t>web design</w:t>
      </w:r>
      <w:r w:rsidRPr="00931C5B">
        <w:rPr>
          <w:rFonts w:eastAsiaTheme="minorHAnsi"/>
        </w:rPr>
        <w:t> and an understanding of how digital platforms shape </w:t>
      </w:r>
      <w:r w:rsidRPr="00931C5B">
        <w:rPr>
          <w:rFonts w:eastAsiaTheme="minorHAnsi"/>
          <w:b/>
          <w:bCs/>
        </w:rPr>
        <w:t>communication</w:t>
      </w:r>
      <w:r w:rsidRPr="00931C5B">
        <w:rPr>
          <w:rFonts w:eastAsiaTheme="minorHAnsi"/>
        </w:rPr>
        <w:t>, </w:t>
      </w:r>
      <w:r w:rsidRPr="00931C5B">
        <w:rPr>
          <w:rFonts w:eastAsiaTheme="minorHAnsi"/>
          <w:b/>
          <w:bCs/>
        </w:rPr>
        <w:t>creativity</w:t>
      </w:r>
      <w:r w:rsidRPr="00931C5B">
        <w:rPr>
          <w:rFonts w:eastAsiaTheme="minorHAnsi"/>
        </w:rPr>
        <w:t>, and </w:t>
      </w:r>
      <w:r w:rsidRPr="00931C5B">
        <w:rPr>
          <w:rFonts w:eastAsiaTheme="minorHAnsi"/>
          <w:b/>
          <w:bCs/>
        </w:rPr>
        <w:t>public discourse</w:t>
      </w:r>
      <w:r w:rsidRPr="00931C5B">
        <w:rPr>
          <w:rFonts w:eastAsiaTheme="minorHAnsi"/>
        </w:rPr>
        <w:t>.</w:t>
      </w:r>
    </w:p>
    <w:p w14:paraId="61D2A8CF" w14:textId="77777777" w:rsidR="00E63002" w:rsidRDefault="00E63002" w:rsidP="00E63002">
      <w:pPr>
        <w:rPr>
          <w:rFonts w:eastAsiaTheme="minorHAnsi"/>
        </w:rPr>
      </w:pPr>
      <w:r w:rsidRPr="00347FC0">
        <w:t xml:space="preserve">This is an introductory course, but it is designed for students </w:t>
      </w:r>
      <w:r>
        <w:t>interested in computers and</w:t>
      </w:r>
      <w:r w:rsidRPr="00347FC0">
        <w:t xml:space="preserve"> working thoughtfully and creatively in digital environments.</w:t>
      </w:r>
      <w:r>
        <w:br/>
      </w:r>
    </w:p>
    <w:p w14:paraId="69A30887" w14:textId="77777777" w:rsidR="00E63002" w:rsidRDefault="00E63002" w:rsidP="00E63002">
      <w:pPr>
        <w:rPr>
          <w:rStyle w:val="Heading2Char"/>
        </w:rPr>
      </w:pPr>
      <w:bookmarkStart w:id="2" w:name="_Toc201044708"/>
      <w:r w:rsidRPr="002E046E">
        <w:rPr>
          <w:rStyle w:val="Heading2Char"/>
        </w:rPr>
        <w:t>Prerequisites &amp; Concurrent Enrollment</w:t>
      </w:r>
      <w:bookmarkEnd w:id="2"/>
    </w:p>
    <w:p w14:paraId="2E8B227F" w14:textId="77777777" w:rsidR="00E63002" w:rsidRDefault="00E63002" w:rsidP="00E63002">
      <w:r>
        <w:t>There are no prerequisites for this class.</w:t>
      </w:r>
      <w:r>
        <w:br/>
      </w:r>
    </w:p>
    <w:p w14:paraId="2AB73ADA" w14:textId="77777777" w:rsidR="00E63002" w:rsidRDefault="00E63002" w:rsidP="00E63002">
      <w:pPr>
        <w:pStyle w:val="Heading1"/>
      </w:pPr>
      <w:bookmarkStart w:id="3" w:name="_Toc28850141"/>
      <w:bookmarkStart w:id="4" w:name="_Toc111274171"/>
      <w:bookmarkStart w:id="5" w:name="_Toc201044710"/>
      <w:bookmarkEnd w:id="0"/>
      <w:r>
        <w:t>Required Textbook</w:t>
      </w:r>
      <w:bookmarkEnd w:id="5"/>
    </w:p>
    <w:p w14:paraId="5259996E" w14:textId="77777777" w:rsidR="00E63002" w:rsidRDefault="00E63002" w:rsidP="00E63002">
      <w:r>
        <w:t>There are no required textbooks for this class. All required readings and resources will be available for free in D2L</w:t>
      </w:r>
      <w:bookmarkStart w:id="6" w:name="_Toc28850143"/>
      <w:bookmarkEnd w:id="3"/>
      <w:r>
        <w:t xml:space="preserve"> and/or the   course website: </w:t>
      </w:r>
      <w:r w:rsidRPr="00D264DB">
        <w:t>https://tcu-dcda.github.io/MLA60970</w:t>
      </w:r>
      <w:r>
        <w:t>/</w:t>
      </w:r>
    </w:p>
    <w:p w14:paraId="526001CD" w14:textId="77777777" w:rsidR="00E63002" w:rsidRDefault="00E63002" w:rsidP="00E63002">
      <w:pPr>
        <w:sectPr w:rsidR="00E63002" w:rsidSect="00E63002">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header="720" w:footer="720" w:gutter="0"/>
          <w:cols w:space="720"/>
          <w:titlePg/>
          <w:docGrid w:linePitch="360"/>
        </w:sectPr>
      </w:pPr>
    </w:p>
    <w:p w14:paraId="48320471" w14:textId="77777777" w:rsidR="00E63002" w:rsidRPr="00E64057" w:rsidRDefault="00E63002" w:rsidP="00E63002">
      <w:pPr>
        <w:pStyle w:val="Heading1"/>
      </w:pPr>
      <w:bookmarkStart w:id="7" w:name="_Toc179286665"/>
      <w:bookmarkStart w:id="8" w:name="_Hlk179294535"/>
      <w:bookmarkStart w:id="9" w:name="_Toc201044711"/>
      <w:bookmarkEnd w:id="6"/>
      <w:r>
        <w:lastRenderedPageBreak/>
        <w:t>Teaching Methodology</w:t>
      </w:r>
      <w:bookmarkEnd w:id="7"/>
      <w:bookmarkEnd w:id="9"/>
    </w:p>
    <w:p w14:paraId="41E13D44" w14:textId="77777777" w:rsidR="00E63002" w:rsidRDefault="00E63002" w:rsidP="00E63002">
      <w:pPr>
        <w:shd w:val="clear" w:color="auto" w:fill="FFFFFF"/>
        <w:spacing w:before="100" w:beforeAutospacing="1" w:after="100" w:afterAutospacing="1"/>
      </w:pPr>
      <w:bookmarkStart w:id="10" w:name="_Toc28850139"/>
      <w:bookmarkStart w:id="11" w:name="_Hlk179294234"/>
      <w:bookmarkEnd w:id="4"/>
      <w:bookmarkEnd w:id="8"/>
      <w:proofErr w:type="gramStart"/>
      <w:r w:rsidRPr="00E273D5">
        <w:t xml:space="preserve">The </w:t>
      </w:r>
      <w:r>
        <w:t>majority</w:t>
      </w:r>
      <w:r w:rsidRPr="00E273D5">
        <w:t xml:space="preserve"> of</w:t>
      </w:r>
      <w:proofErr w:type="gramEnd"/>
      <w:r w:rsidRPr="00E273D5">
        <w:t xml:space="preserve"> the course will focus on </w:t>
      </w:r>
      <w:r>
        <w:t xml:space="preserve">1) </w:t>
      </w:r>
      <w:r w:rsidRPr="00E273D5">
        <w:t xml:space="preserve">learning the basics of </w:t>
      </w:r>
      <w:r>
        <w:t>HTML, CSS, and JS</w:t>
      </w:r>
      <w:r w:rsidRPr="00E273D5">
        <w:t xml:space="preserve"> and </w:t>
      </w:r>
      <w:r>
        <w:t>2) a sequence of “labs” or</w:t>
      </w:r>
      <w:r w:rsidRPr="00E273D5">
        <w:t xml:space="preserve"> minor assignments. The rest of the class will focus on applying those </w:t>
      </w:r>
      <w:r>
        <w:t>web development skills</w:t>
      </w:r>
      <w:r w:rsidRPr="00E273D5">
        <w:t xml:space="preserve"> to </w:t>
      </w:r>
      <w:r>
        <w:t>web applications relevant to work</w:t>
      </w:r>
      <w:r w:rsidRPr="00E273D5">
        <w:t xml:space="preserve"> in the Humanities</w:t>
      </w:r>
      <w:r>
        <w:t xml:space="preserve"> and Social Sciences. My role will be to provide a blend of video lectures and programming demonstrations, guided activities, and one-on-one support.</w:t>
      </w:r>
    </w:p>
    <w:p w14:paraId="78F827DA" w14:textId="77777777" w:rsidR="00E63002" w:rsidRDefault="00E63002" w:rsidP="00E63002">
      <w:pPr>
        <w:pStyle w:val="Heading1"/>
      </w:pPr>
      <w:bookmarkStart w:id="12" w:name="_Toc111198232"/>
      <w:bookmarkStart w:id="13" w:name="_Toc179281730"/>
      <w:bookmarkStart w:id="14" w:name="_Toc201044712"/>
      <w:bookmarkEnd w:id="10"/>
      <w:bookmarkEnd w:id="11"/>
      <w:r>
        <w:t>Learning Outcomes</w:t>
      </w:r>
      <w:bookmarkEnd w:id="14"/>
      <w:r>
        <w:t xml:space="preserve"> </w:t>
      </w:r>
    </w:p>
    <w:p w14:paraId="631DC157" w14:textId="77777777" w:rsidR="00E63002" w:rsidRDefault="00E63002" w:rsidP="00E63002">
      <w:bookmarkStart w:id="15" w:name="_Toc179286670"/>
      <w:r>
        <w:t>L</w:t>
      </w:r>
      <w:r w:rsidRPr="00D44623">
        <w:t>earning outcomes are the driving forces of this course</w:t>
      </w:r>
      <w:r>
        <w:t xml:space="preserve">: they are the focusing themes that inform everything we do. </w:t>
      </w:r>
      <w:r w:rsidRPr="00E273D5">
        <w:t xml:space="preserve">The learning outcomes listed below are the goals we are working toward that you should meet by the end </w:t>
      </w:r>
      <w:r>
        <w:t>of the term</w:t>
      </w:r>
      <w:r w:rsidRPr="00E273D5">
        <w:t>.</w:t>
      </w:r>
    </w:p>
    <w:p w14:paraId="078F1D12" w14:textId="77777777" w:rsidR="00E63002" w:rsidRPr="00E64057" w:rsidRDefault="00E63002" w:rsidP="00E63002">
      <w:pPr>
        <w:pStyle w:val="Heading2"/>
      </w:pPr>
      <w:bookmarkStart w:id="16" w:name="_Toc201044713"/>
      <w:r>
        <w:t xml:space="preserve">Course </w:t>
      </w:r>
      <w:r w:rsidRPr="00E64057">
        <w:t>Learning Outcomes</w:t>
      </w:r>
      <w:bookmarkEnd w:id="16"/>
      <w:r w:rsidRPr="00E64057">
        <w:t xml:space="preserve"> </w:t>
      </w:r>
    </w:p>
    <w:p w14:paraId="185AF5B0" w14:textId="77777777" w:rsidR="00E63002" w:rsidRDefault="00E63002" w:rsidP="00E63002">
      <w:r>
        <w:t xml:space="preserve">These two outcomes, particular to this course, shape the work we’ll do this semester:  </w:t>
      </w:r>
    </w:p>
    <w:p w14:paraId="7490129D" w14:textId="77777777" w:rsidR="00E63002" w:rsidRPr="00E273D5" w:rsidRDefault="00E63002" w:rsidP="00E63002">
      <w:pPr>
        <w:pStyle w:val="ListParagraph"/>
        <w:numPr>
          <w:ilvl w:val="0"/>
          <w:numId w:val="1"/>
        </w:numPr>
        <w:ind w:left="720"/>
      </w:pPr>
      <w:r w:rsidRPr="00E273D5">
        <w:t xml:space="preserve">Students will use </w:t>
      </w:r>
      <w:r>
        <w:t>their skill in web development</w:t>
      </w:r>
      <w:r w:rsidRPr="00E273D5">
        <w:t xml:space="preserve"> as an exploratory research tool designed to </w:t>
      </w:r>
      <w:r>
        <w:t>address</w:t>
      </w:r>
      <w:r w:rsidRPr="00E273D5">
        <w:t>, but not always answer, important cultural questions</w:t>
      </w:r>
      <w:r>
        <w:t>.</w:t>
      </w:r>
    </w:p>
    <w:p w14:paraId="5626FB48" w14:textId="77777777" w:rsidR="00E63002" w:rsidRPr="00A32E47" w:rsidRDefault="00E63002" w:rsidP="00E63002">
      <w:pPr>
        <w:pStyle w:val="ListParagraph"/>
        <w:numPr>
          <w:ilvl w:val="0"/>
          <w:numId w:val="1"/>
        </w:numPr>
        <w:ind w:left="720"/>
      </w:pPr>
      <w:r w:rsidRPr="00E273D5">
        <w:t xml:space="preserve">Students will reflect on the limitations of </w:t>
      </w:r>
      <w:r>
        <w:t>multimodal communication</w:t>
      </w:r>
      <w:r w:rsidRPr="00E273D5">
        <w:t xml:space="preserve"> common to the Digital Humanities</w:t>
      </w:r>
      <w:r>
        <w:t xml:space="preserve">. </w:t>
      </w:r>
      <w:bookmarkStart w:id="17" w:name="_Toc201044716"/>
      <w:bookmarkEnd w:id="12"/>
      <w:bookmarkEnd w:id="13"/>
      <w:bookmarkEnd w:id="15"/>
      <w:r w:rsidRPr="00A32E47">
        <w:t xml:space="preserve">Course </w:t>
      </w:r>
      <w:r>
        <w:t>Assignments &amp; Final Grade</w:t>
      </w:r>
      <w:bookmarkEnd w:id="17"/>
    </w:p>
    <w:p w14:paraId="3082E8BA" w14:textId="77777777" w:rsidR="00E63002" w:rsidRPr="00F3420E" w:rsidRDefault="00E63002" w:rsidP="00E63002">
      <w:pPr>
        <w:pStyle w:val="Heading2"/>
      </w:pPr>
      <w:bookmarkStart w:id="18" w:name="_Toc201044717"/>
      <w:r w:rsidRPr="00F3420E">
        <w:t>Assignments</w:t>
      </w:r>
      <w:bookmarkEnd w:id="18"/>
      <w:r>
        <w:t xml:space="preserve"> &amp; Projects </w:t>
      </w:r>
    </w:p>
    <w:p w14:paraId="2926ECCE" w14:textId="77777777" w:rsidR="00E63002" w:rsidRDefault="00E63002" w:rsidP="00E63002">
      <w:pPr>
        <w:rPr>
          <w:b/>
          <w:bCs/>
        </w:rPr>
      </w:pPr>
      <w:bookmarkStart w:id="19" w:name="_Toc78440662"/>
      <w:bookmarkStart w:id="20" w:name="_Toc78891388"/>
      <w:r w:rsidRPr="00C711C6">
        <w:t xml:space="preserve">Throughout the semester, </w:t>
      </w:r>
      <w:proofErr w:type="gramStart"/>
      <w:r w:rsidRPr="00C711C6">
        <w:t>the majority of</w:t>
      </w:r>
      <w:proofErr w:type="gramEnd"/>
      <w:r w:rsidRPr="00C711C6">
        <w:t xml:space="preserve"> your evaluated work will consist of</w:t>
      </w:r>
      <w:r w:rsidRPr="00C86C05">
        <w:rPr>
          <w:b/>
          <w:bCs/>
        </w:rPr>
        <w:t xml:space="preserve"> </w:t>
      </w:r>
      <w:r>
        <w:rPr>
          <w:b/>
          <w:bCs/>
        </w:rPr>
        <w:t xml:space="preserve">four (4) Projects, four (4) peer review exchanges, three (3) Self Reflections, </w:t>
      </w:r>
      <w:r w:rsidRPr="00C711C6">
        <w:t xml:space="preserve">and </w:t>
      </w:r>
      <w:r w:rsidRPr="00C86C05">
        <w:rPr>
          <w:b/>
          <w:bCs/>
        </w:rPr>
        <w:t>three (3) Threaded Discussions</w:t>
      </w:r>
      <w:r w:rsidRPr="00C711C6">
        <w:t xml:space="preserve">. Some of these will engage with the reading done for class, typically not just checking to see if you read, but asking you to think further on a given topic, concept, or concern. </w:t>
      </w:r>
      <w:r>
        <w:t>Most</w:t>
      </w:r>
      <w:r w:rsidRPr="00C711C6">
        <w:t xml:space="preserve"> of these will be used as “scaffolding”: building the skills necessary for the </w:t>
      </w:r>
      <w:r>
        <w:t xml:space="preserve">final </w:t>
      </w:r>
      <w:r w:rsidRPr="00C711C6">
        <w:t xml:space="preserve">semester project. Some will be technological: for example, developing or revising simple computer scripts written in </w:t>
      </w:r>
      <w:r>
        <w:t>HTML, CSS, and/or JavaScript</w:t>
      </w:r>
      <w:r w:rsidRPr="00C711C6">
        <w:t xml:space="preserve">.  </w:t>
      </w:r>
    </w:p>
    <w:p w14:paraId="55576E61" w14:textId="77777777" w:rsidR="00E63002" w:rsidRPr="00C711C6" w:rsidRDefault="00E63002" w:rsidP="00E63002">
      <w:pPr>
        <w:pStyle w:val="Heading2"/>
      </w:pPr>
      <w:bookmarkStart w:id="21" w:name="_Toc78440663"/>
      <w:bookmarkStart w:id="22" w:name="_Toc78891389"/>
      <w:bookmarkStart w:id="23" w:name="_Toc201044719"/>
      <w:bookmarkEnd w:id="19"/>
      <w:bookmarkEnd w:id="20"/>
      <w:r w:rsidRPr="00C711C6">
        <w:t>Grad</w:t>
      </w:r>
      <w:r>
        <w:t>ing Philosophy and Policy</w:t>
      </w:r>
      <w:bookmarkEnd w:id="23"/>
    </w:p>
    <w:p w14:paraId="16326D63" w14:textId="77777777" w:rsidR="00E63002" w:rsidRDefault="00E63002" w:rsidP="00E63002">
      <w:pPr>
        <w:shd w:val="clear" w:color="auto" w:fill="FFFFFF"/>
        <w:spacing w:before="0"/>
        <w:rPr>
          <w:color w:val="403C3D"/>
        </w:rPr>
      </w:pPr>
      <w:r w:rsidRPr="00FC762C">
        <w:rPr>
          <w:color w:val="403C3D"/>
        </w:rPr>
        <w:t xml:space="preserve">In this class, </w:t>
      </w:r>
      <w:r>
        <w:rPr>
          <w:b/>
          <w:bCs/>
          <w:color w:val="403C3D"/>
        </w:rPr>
        <w:t>I</w:t>
      </w:r>
      <w:r w:rsidRPr="000B5724">
        <w:rPr>
          <w:b/>
          <w:bCs/>
          <w:color w:val="403C3D"/>
        </w:rPr>
        <w:t xml:space="preserve"> won’t be grading individual assignments or calculating points/percentages</w:t>
      </w:r>
      <w:r w:rsidRPr="00FC762C">
        <w:rPr>
          <w:color w:val="403C3D"/>
        </w:rPr>
        <w:t xml:space="preserve">. Instead, </w:t>
      </w:r>
      <w:r>
        <w:rPr>
          <w:color w:val="403C3D"/>
        </w:rPr>
        <w:t>I</w:t>
      </w:r>
      <w:r w:rsidRPr="00FC762C">
        <w:rPr>
          <w:color w:val="403C3D"/>
        </w:rPr>
        <w:t xml:space="preserve">’ll offer lots of feedback without any </w:t>
      </w:r>
      <w:r>
        <w:rPr>
          <w:color w:val="403C3D"/>
        </w:rPr>
        <w:t>points</w:t>
      </w:r>
      <w:r w:rsidRPr="00FC762C">
        <w:rPr>
          <w:color w:val="403C3D"/>
        </w:rPr>
        <w:t xml:space="preserve"> or letter associated with it</w:t>
      </w:r>
      <w:r>
        <w:rPr>
          <w:color w:val="403C3D"/>
        </w:rPr>
        <w:t>—but along the way we will indicate if you are meeting expectations</w:t>
      </w:r>
      <w:r w:rsidRPr="00FC762C">
        <w:rPr>
          <w:color w:val="403C3D"/>
        </w:rPr>
        <w:t>.</w:t>
      </w:r>
      <w:r>
        <w:rPr>
          <w:color w:val="403C3D"/>
        </w:rPr>
        <w:t xml:space="preserve"> In addition to our written feedback, I will indicate if your work on the assignment </w:t>
      </w:r>
      <w:r w:rsidRPr="000078C6">
        <w:rPr>
          <w:b/>
          <w:bCs/>
          <w:color w:val="403C3D"/>
        </w:rPr>
        <w:t>Exceeds</w:t>
      </w:r>
      <w:r>
        <w:rPr>
          <w:color w:val="403C3D"/>
        </w:rPr>
        <w:t xml:space="preserve">, </w:t>
      </w:r>
      <w:r w:rsidRPr="000078C6">
        <w:rPr>
          <w:b/>
          <w:bCs/>
          <w:color w:val="403C3D"/>
        </w:rPr>
        <w:t>Meets</w:t>
      </w:r>
      <w:r>
        <w:rPr>
          <w:color w:val="403C3D"/>
        </w:rPr>
        <w:t xml:space="preserve">, or </w:t>
      </w:r>
      <w:r w:rsidRPr="000078C6">
        <w:rPr>
          <w:b/>
          <w:bCs/>
          <w:color w:val="403C3D"/>
        </w:rPr>
        <w:t>Fails to Meet</w:t>
      </w:r>
      <w:r>
        <w:rPr>
          <w:color w:val="403C3D"/>
        </w:rPr>
        <w:t xml:space="preserve"> Expectations.  </w:t>
      </w:r>
      <w:r w:rsidRPr="00FC762C">
        <w:rPr>
          <w:color w:val="403C3D"/>
        </w:rPr>
        <w:t xml:space="preserve">Throughout the semester, you will write </w:t>
      </w:r>
      <w:r w:rsidRPr="000B5724">
        <w:rPr>
          <w:b/>
          <w:bCs/>
          <w:color w:val="403C3D"/>
        </w:rPr>
        <w:t>three self-reflection essays</w:t>
      </w:r>
      <w:r w:rsidRPr="00FC762C">
        <w:rPr>
          <w:color w:val="403C3D"/>
        </w:rPr>
        <w:t xml:space="preserve"> (about a page each) on </w:t>
      </w:r>
      <w:r>
        <w:rPr>
          <w:color w:val="403C3D"/>
        </w:rPr>
        <w:t>your</w:t>
      </w:r>
      <w:r w:rsidRPr="00FC762C">
        <w:rPr>
          <w:color w:val="403C3D"/>
        </w:rPr>
        <w:t xml:space="preserve"> develop</w:t>
      </w:r>
      <w:r>
        <w:rPr>
          <w:color w:val="403C3D"/>
        </w:rPr>
        <w:t>ment</w:t>
      </w:r>
      <w:r w:rsidRPr="00FC762C">
        <w:rPr>
          <w:color w:val="403C3D"/>
        </w:rPr>
        <w:t xml:space="preserve"> as a learner. On the second and third of these essays, you will indicate the grade you believe you have earned</w:t>
      </w:r>
      <w:r>
        <w:rPr>
          <w:color w:val="403C3D"/>
        </w:rPr>
        <w:t xml:space="preserve"> to date in the course</w:t>
      </w:r>
      <w:r w:rsidRPr="00FC762C">
        <w:rPr>
          <w:color w:val="403C3D"/>
        </w:rPr>
        <w:t xml:space="preserve">. </w:t>
      </w:r>
      <w:r>
        <w:rPr>
          <w:color w:val="403C3D"/>
        </w:rPr>
        <w:t>For Reflections 2 and 3, you will be asked to assess yourself in terms of your growth in the following areas:</w:t>
      </w:r>
    </w:p>
    <w:p w14:paraId="279B22E4" w14:textId="77777777" w:rsidR="00E63002" w:rsidRPr="000078C6" w:rsidRDefault="00E63002" w:rsidP="00E63002">
      <w:pPr>
        <w:shd w:val="clear" w:color="auto" w:fill="FFFFFF"/>
        <w:spacing w:before="0"/>
        <w:ind w:left="720"/>
        <w:rPr>
          <w:b/>
          <w:bCs/>
          <w:color w:val="403C3D"/>
        </w:rPr>
      </w:pPr>
      <w:r w:rsidRPr="000078C6">
        <w:rPr>
          <w:b/>
          <w:bCs/>
          <w:color w:val="403C3D"/>
        </w:rPr>
        <w:t>Coding Competency in HTML, CSS, and JS</w:t>
      </w:r>
    </w:p>
    <w:p w14:paraId="059659F3" w14:textId="77777777" w:rsidR="00E63002" w:rsidRPr="000078C6" w:rsidRDefault="00E63002" w:rsidP="00E63002">
      <w:pPr>
        <w:shd w:val="clear" w:color="auto" w:fill="FFFFFF"/>
        <w:spacing w:before="0"/>
        <w:ind w:left="720"/>
        <w:rPr>
          <w:b/>
          <w:bCs/>
          <w:color w:val="403C3D"/>
        </w:rPr>
      </w:pPr>
      <w:r w:rsidRPr="000078C6">
        <w:rPr>
          <w:b/>
          <w:bCs/>
          <w:color w:val="403C3D"/>
        </w:rPr>
        <w:t>Audience Engagement, Accessibility, and User Experience (UX)</w:t>
      </w:r>
    </w:p>
    <w:p w14:paraId="74057FF0" w14:textId="77777777" w:rsidR="00E63002" w:rsidRPr="000078C6" w:rsidRDefault="00E63002" w:rsidP="00E63002">
      <w:pPr>
        <w:shd w:val="clear" w:color="auto" w:fill="FFFFFF"/>
        <w:spacing w:before="0"/>
        <w:ind w:left="720"/>
        <w:rPr>
          <w:b/>
          <w:bCs/>
          <w:color w:val="403C3D"/>
        </w:rPr>
      </w:pPr>
      <w:r w:rsidRPr="000078C6">
        <w:rPr>
          <w:b/>
          <w:bCs/>
          <w:color w:val="403C3D"/>
        </w:rPr>
        <w:t>Project Design and Planning</w:t>
      </w:r>
    </w:p>
    <w:p w14:paraId="120A1107" w14:textId="77777777" w:rsidR="00E63002" w:rsidRPr="005D4731" w:rsidRDefault="00E63002" w:rsidP="00E63002">
      <w:pPr>
        <w:shd w:val="clear" w:color="auto" w:fill="FFFFFF"/>
        <w:spacing w:before="0"/>
        <w:ind w:left="720"/>
        <w:rPr>
          <w:b/>
          <w:bCs/>
          <w:color w:val="403C3D"/>
        </w:rPr>
      </w:pPr>
      <w:r w:rsidRPr="000078C6">
        <w:rPr>
          <w:b/>
          <w:bCs/>
          <w:color w:val="403C3D"/>
        </w:rPr>
        <w:lastRenderedPageBreak/>
        <w:t>Collaboration</w:t>
      </w:r>
    </w:p>
    <w:p w14:paraId="273BF02B" w14:textId="77777777" w:rsidR="00E63002" w:rsidRDefault="00E63002" w:rsidP="00E63002">
      <w:pPr>
        <w:shd w:val="clear" w:color="auto" w:fill="FFFFFF"/>
        <w:spacing w:before="0"/>
        <w:rPr>
          <w:color w:val="403C3D"/>
        </w:rPr>
      </w:pPr>
      <w:r>
        <w:rPr>
          <w:color w:val="403C3D"/>
        </w:rPr>
        <w:t xml:space="preserve">The grades you argue for </w:t>
      </w:r>
      <w:r w:rsidRPr="00FC762C">
        <w:rPr>
          <w:color w:val="403C3D"/>
        </w:rPr>
        <w:t xml:space="preserve">your midterm and </w:t>
      </w:r>
      <w:r>
        <w:rPr>
          <w:color w:val="403C3D"/>
        </w:rPr>
        <w:t xml:space="preserve">final semester grades should be expressed as traditional letter </w:t>
      </w:r>
      <w:r w:rsidRPr="00FC762C">
        <w:rPr>
          <w:color w:val="403C3D"/>
        </w:rPr>
        <w:t>grades</w:t>
      </w:r>
      <w:r>
        <w:rPr>
          <w:color w:val="403C3D"/>
        </w:rPr>
        <w:t xml:space="preserve"> (A, A-, B+, B, B- and so on)</w:t>
      </w:r>
      <w:r w:rsidRPr="00FC762C">
        <w:rPr>
          <w:color w:val="403C3D"/>
        </w:rPr>
        <w:t xml:space="preserve">. </w:t>
      </w:r>
      <w:r>
        <w:rPr>
          <w:color w:val="403C3D"/>
        </w:rPr>
        <w:t>I</w:t>
      </w:r>
      <w:r w:rsidRPr="00FC762C">
        <w:rPr>
          <w:color w:val="403C3D"/>
        </w:rPr>
        <w:t xml:space="preserve"> reserve the right to change your grade, but in general </w:t>
      </w:r>
      <w:r>
        <w:rPr>
          <w:color w:val="403C3D"/>
        </w:rPr>
        <w:t>I</w:t>
      </w:r>
      <w:r w:rsidRPr="00FC762C">
        <w:rPr>
          <w:color w:val="403C3D"/>
        </w:rPr>
        <w:t xml:space="preserve"> defer to you as the best judge of your learning.</w:t>
      </w:r>
    </w:p>
    <w:p w14:paraId="4179650F" w14:textId="77777777" w:rsidR="00E63002" w:rsidRPr="00FB75C9" w:rsidRDefault="00E63002" w:rsidP="00E63002">
      <w:pPr>
        <w:shd w:val="clear" w:color="auto" w:fill="FFFFFF"/>
        <w:spacing w:before="0"/>
        <w:rPr>
          <w:color w:val="403C3D"/>
        </w:rPr>
      </w:pPr>
      <w:r w:rsidRPr="00FB75C9">
        <w:rPr>
          <w:color w:val="403C3D"/>
        </w:rPr>
        <w:t xml:space="preserve">For more information on the rationale behind this system, </w:t>
      </w:r>
      <w:r>
        <w:rPr>
          <w:color w:val="403C3D"/>
        </w:rPr>
        <w:t>I</w:t>
      </w:r>
      <w:r w:rsidRPr="00FB75C9">
        <w:rPr>
          <w:color w:val="403C3D"/>
        </w:rPr>
        <w:t xml:space="preserve"> recommend these short, approachable blog posts by Dr. Jesse Stommel: "</w:t>
      </w:r>
      <w:hyperlink r:id="rId11" w:history="1">
        <w:r w:rsidRPr="00FB75C9">
          <w:rPr>
            <w:b/>
            <w:bCs/>
            <w:color w:val="1B63A8"/>
            <w:u w:val="single"/>
          </w:rPr>
          <w:t>Why I Don't Grade</w:t>
        </w:r>
      </w:hyperlink>
      <w:r w:rsidRPr="00FB75C9">
        <w:rPr>
          <w:color w:val="403C3D"/>
        </w:rPr>
        <w:t>" and "</w:t>
      </w:r>
      <w:hyperlink r:id="rId12" w:history="1">
        <w:r w:rsidRPr="00FB75C9">
          <w:rPr>
            <w:b/>
            <w:bCs/>
            <w:color w:val="1B63A8"/>
            <w:u w:val="single"/>
          </w:rPr>
          <w:t xml:space="preserve">How to </w:t>
        </w:r>
        <w:proofErr w:type="spellStart"/>
        <w:r w:rsidRPr="00FB75C9">
          <w:rPr>
            <w:b/>
            <w:bCs/>
            <w:color w:val="1B63A8"/>
            <w:u w:val="single"/>
          </w:rPr>
          <w:t>Ungrade</w:t>
        </w:r>
        <w:proofErr w:type="spellEnd"/>
      </w:hyperlink>
      <w:r w:rsidRPr="00FB75C9">
        <w:rPr>
          <w:color w:val="403C3D"/>
        </w:rPr>
        <w:t>." </w:t>
      </w:r>
      <w:r>
        <w:rPr>
          <w:color w:val="403C3D"/>
        </w:rPr>
        <w:t>I</w:t>
      </w:r>
      <w:r w:rsidRPr="00FB75C9">
        <w:rPr>
          <w:color w:val="403C3D"/>
        </w:rPr>
        <w:t xml:space="preserve"> </w:t>
      </w:r>
      <w:proofErr w:type="gramStart"/>
      <w:r w:rsidRPr="00FB75C9">
        <w:rPr>
          <w:color w:val="403C3D"/>
        </w:rPr>
        <w:t>are</w:t>
      </w:r>
      <w:proofErr w:type="gramEnd"/>
      <w:r w:rsidRPr="00FB75C9">
        <w:rPr>
          <w:color w:val="403C3D"/>
        </w:rPr>
        <w:t xml:space="preserve"> more than willing to supply more detailed pedagogical scholarship on this rationale at your request. The online self-reflection essay documents provide detailed descriptions of how to successfully argue for a grade. </w:t>
      </w:r>
    </w:p>
    <w:p w14:paraId="6926B635" w14:textId="77777777" w:rsidR="00E63002" w:rsidRDefault="00E63002" w:rsidP="00E63002">
      <w:pPr>
        <w:shd w:val="clear" w:color="auto" w:fill="FFFFFF"/>
        <w:spacing w:before="0"/>
        <w:rPr>
          <w:spacing w:val="-2"/>
        </w:rPr>
      </w:pPr>
      <w:r w:rsidRPr="00FC762C">
        <w:rPr>
          <w:color w:val="403C3D"/>
        </w:rPr>
        <w:t xml:space="preserve">For your reference, </w:t>
      </w:r>
      <w:r>
        <w:rPr>
          <w:color w:val="403C3D"/>
        </w:rPr>
        <w:t>t</w:t>
      </w:r>
      <w:r>
        <w:t>he</w:t>
      </w:r>
      <w:r>
        <w:rPr>
          <w:spacing w:val="-3"/>
        </w:rPr>
        <w:t xml:space="preserve"> </w:t>
      </w:r>
      <w:hyperlink r:id="rId13" w:anchor="grading" w:history="1">
        <w:r w:rsidRPr="003300EB">
          <w:rPr>
            <w:rStyle w:val="Hyperlink"/>
            <w:rFonts w:eastAsiaTheme="majorEastAsia"/>
          </w:rPr>
          <w:t>faculty</w:t>
        </w:r>
        <w:r w:rsidRPr="003300EB">
          <w:rPr>
            <w:rStyle w:val="Hyperlink"/>
            <w:rFonts w:eastAsiaTheme="majorEastAsia"/>
            <w:spacing w:val="-2"/>
          </w:rPr>
          <w:t xml:space="preserve"> </w:t>
        </w:r>
        <w:r w:rsidRPr="003300EB">
          <w:rPr>
            <w:rStyle w:val="Hyperlink"/>
            <w:rFonts w:eastAsiaTheme="majorEastAsia"/>
          </w:rPr>
          <w:t>definition</w:t>
        </w:r>
        <w:r w:rsidRPr="003300EB">
          <w:rPr>
            <w:rStyle w:val="Hyperlink"/>
            <w:rFonts w:eastAsiaTheme="majorEastAsia"/>
            <w:spacing w:val="-3"/>
          </w:rPr>
          <w:t xml:space="preserve"> </w:t>
        </w:r>
        <w:r w:rsidRPr="003300EB">
          <w:rPr>
            <w:rStyle w:val="Hyperlink"/>
            <w:rFonts w:eastAsiaTheme="majorEastAsia"/>
          </w:rPr>
          <w:t>of</w:t>
        </w:r>
        <w:r w:rsidRPr="003300EB">
          <w:rPr>
            <w:rStyle w:val="Hyperlink"/>
            <w:rFonts w:eastAsiaTheme="majorEastAsia"/>
            <w:spacing w:val="-3"/>
          </w:rPr>
          <w:t xml:space="preserve"> </w:t>
        </w:r>
        <w:r w:rsidRPr="003300EB">
          <w:rPr>
            <w:rStyle w:val="Hyperlink"/>
            <w:rFonts w:eastAsiaTheme="majorEastAsia"/>
          </w:rPr>
          <w:t>grades</w:t>
        </w:r>
      </w:hyperlink>
      <w:r>
        <w:t>,</w:t>
      </w:r>
      <w:r>
        <w:rPr>
          <w:spacing w:val="-3"/>
        </w:rPr>
        <w:t xml:space="preserve"> </w:t>
      </w:r>
      <w:r>
        <w:t>and</w:t>
      </w:r>
      <w:r>
        <w:rPr>
          <w:spacing w:val="-5"/>
        </w:rPr>
        <w:t xml:space="preserve"> </w:t>
      </w:r>
      <w:r>
        <w:t>the</w:t>
      </w:r>
      <w:r>
        <w:rPr>
          <w:spacing w:val="-3"/>
        </w:rPr>
        <w:t xml:space="preserve"> letter/</w:t>
      </w:r>
      <w:r>
        <w:t>percentage</w:t>
      </w:r>
      <w:r>
        <w:rPr>
          <w:spacing w:val="-1"/>
        </w:rPr>
        <w:t xml:space="preserve"> </w:t>
      </w:r>
      <w:r>
        <w:t>system</w:t>
      </w:r>
      <w:r>
        <w:rPr>
          <w:spacing w:val="-1"/>
        </w:rPr>
        <w:t xml:space="preserve"> </w:t>
      </w:r>
      <w:r>
        <w:t>designed</w:t>
      </w:r>
      <w:r>
        <w:rPr>
          <w:spacing w:val="-5"/>
        </w:rPr>
        <w:t xml:space="preserve"> </w:t>
      </w:r>
      <w:r>
        <w:t>to</w:t>
      </w:r>
      <w:r>
        <w:rPr>
          <w:spacing w:val="-5"/>
        </w:rPr>
        <w:t xml:space="preserve"> </w:t>
      </w:r>
      <w:r>
        <w:t>indicate</w:t>
      </w:r>
      <w:r>
        <w:rPr>
          <w:spacing w:val="-5"/>
        </w:rPr>
        <w:t xml:space="preserve"> </w:t>
      </w:r>
      <w:r>
        <w:t>quality</w:t>
      </w:r>
      <w:r>
        <w:rPr>
          <w:spacing w:val="-2"/>
        </w:rPr>
        <w:t xml:space="preserve"> </w:t>
      </w:r>
      <w:r>
        <w:t>of</w:t>
      </w:r>
      <w:r>
        <w:rPr>
          <w:spacing w:val="-3"/>
        </w:rPr>
        <w:t xml:space="preserve"> </w:t>
      </w:r>
      <w:r>
        <w:t>work in this class,</w:t>
      </w:r>
      <w:r>
        <w:rPr>
          <w:spacing w:val="-1"/>
        </w:rPr>
        <w:t xml:space="preserve"> </w:t>
      </w:r>
      <w:r>
        <w:t>is</w:t>
      </w:r>
      <w:r>
        <w:rPr>
          <w:spacing w:val="-2"/>
        </w:rPr>
        <w:t xml:space="preserve"> </w:t>
      </w:r>
      <w:r>
        <w:t xml:space="preserve">as </w:t>
      </w:r>
      <w:r>
        <w:rPr>
          <w:spacing w:val="-2"/>
        </w:rPr>
        <w:t>follows:</w:t>
      </w:r>
    </w:p>
    <w:p w14:paraId="0D28ED38" w14:textId="77777777" w:rsidR="00E63002" w:rsidRDefault="00E63002" w:rsidP="00E63002">
      <w:pPr>
        <w:pStyle w:val="BodyText"/>
        <w:spacing w:before="6"/>
        <w:rPr>
          <w:sz w:val="14"/>
        </w:rPr>
      </w:pPr>
    </w:p>
    <w:tbl>
      <w:tblPr>
        <w:tblStyle w:val="TableGrid"/>
        <w:tblW w:w="6115" w:type="dxa"/>
        <w:jc w:val="center"/>
        <w:tblLayout w:type="fixed"/>
        <w:tblLook w:val="01E0" w:firstRow="1" w:lastRow="1" w:firstColumn="1" w:lastColumn="1" w:noHBand="0" w:noVBand="0"/>
      </w:tblPr>
      <w:tblGrid>
        <w:gridCol w:w="1620"/>
        <w:gridCol w:w="1435"/>
        <w:gridCol w:w="3060"/>
      </w:tblGrid>
      <w:tr w:rsidR="00E63002" w:rsidRPr="00FC762C" w14:paraId="301188AA" w14:textId="77777777" w:rsidTr="00D45BD7">
        <w:trPr>
          <w:trHeight w:val="286"/>
          <w:jc w:val="center"/>
        </w:trPr>
        <w:tc>
          <w:tcPr>
            <w:tcW w:w="1620" w:type="dxa"/>
            <w:vAlign w:val="center"/>
          </w:tcPr>
          <w:p w14:paraId="76212846" w14:textId="77777777" w:rsidR="00E63002" w:rsidRPr="00FC762C" w:rsidRDefault="00E63002" w:rsidP="00D45BD7">
            <w:pPr>
              <w:pStyle w:val="TableParagraph"/>
              <w:spacing w:before="1"/>
              <w:ind w:left="108"/>
              <w:jc w:val="center"/>
              <w:rPr>
                <w:b/>
                <w:sz w:val="18"/>
                <w:szCs w:val="20"/>
              </w:rPr>
            </w:pPr>
            <w:r w:rsidRPr="00FC762C">
              <w:rPr>
                <w:b/>
                <w:sz w:val="18"/>
                <w:szCs w:val="20"/>
              </w:rPr>
              <w:t>Work Quality</w:t>
            </w:r>
          </w:p>
        </w:tc>
        <w:tc>
          <w:tcPr>
            <w:tcW w:w="1435" w:type="dxa"/>
            <w:vAlign w:val="center"/>
          </w:tcPr>
          <w:p w14:paraId="711308B4" w14:textId="77777777" w:rsidR="00E63002" w:rsidRPr="00FC762C" w:rsidRDefault="00E63002" w:rsidP="00D45BD7">
            <w:pPr>
              <w:pStyle w:val="TableParagraph"/>
              <w:spacing w:before="1"/>
              <w:ind w:left="108"/>
              <w:jc w:val="center"/>
              <w:rPr>
                <w:b/>
                <w:sz w:val="18"/>
                <w:szCs w:val="20"/>
              </w:rPr>
            </w:pPr>
            <w:r w:rsidRPr="00FC762C">
              <w:rPr>
                <w:b/>
                <w:sz w:val="18"/>
                <w:szCs w:val="20"/>
              </w:rPr>
              <w:t xml:space="preserve">Letter </w:t>
            </w:r>
            <w:r w:rsidRPr="00FC762C">
              <w:rPr>
                <w:b/>
                <w:spacing w:val="-2"/>
                <w:sz w:val="18"/>
                <w:szCs w:val="20"/>
              </w:rPr>
              <w:t>Grade</w:t>
            </w:r>
          </w:p>
        </w:tc>
        <w:tc>
          <w:tcPr>
            <w:tcW w:w="3060" w:type="dxa"/>
            <w:vAlign w:val="center"/>
          </w:tcPr>
          <w:p w14:paraId="0241C43A" w14:textId="77777777" w:rsidR="00E63002" w:rsidRPr="00FC762C" w:rsidRDefault="00E63002" w:rsidP="00D45BD7">
            <w:pPr>
              <w:pStyle w:val="TableParagraph"/>
              <w:spacing w:before="1"/>
              <w:ind w:left="108"/>
              <w:jc w:val="center"/>
              <w:rPr>
                <w:b/>
                <w:sz w:val="18"/>
                <w:szCs w:val="20"/>
              </w:rPr>
            </w:pPr>
            <w:r w:rsidRPr="00FC762C">
              <w:rPr>
                <w:b/>
                <w:sz w:val="18"/>
                <w:szCs w:val="20"/>
              </w:rPr>
              <w:t>Semester Grade</w:t>
            </w:r>
            <w:r w:rsidRPr="00FC762C">
              <w:rPr>
                <w:b/>
                <w:spacing w:val="-2"/>
                <w:sz w:val="18"/>
                <w:szCs w:val="20"/>
              </w:rPr>
              <w:t xml:space="preserve"> Points (GPA)</w:t>
            </w:r>
          </w:p>
        </w:tc>
      </w:tr>
      <w:tr w:rsidR="00E63002" w:rsidRPr="00FC762C" w14:paraId="2BD0CF34" w14:textId="77777777" w:rsidTr="00D45BD7">
        <w:trPr>
          <w:trHeight w:val="287"/>
          <w:jc w:val="center"/>
        </w:trPr>
        <w:tc>
          <w:tcPr>
            <w:tcW w:w="1620" w:type="dxa"/>
            <w:vAlign w:val="center"/>
          </w:tcPr>
          <w:p w14:paraId="2BB49FF4" w14:textId="77777777" w:rsidR="00E63002" w:rsidRPr="00FC762C" w:rsidRDefault="00E63002" w:rsidP="00D45BD7">
            <w:pPr>
              <w:pStyle w:val="TableParagraph"/>
              <w:spacing w:before="1"/>
              <w:ind w:left="108"/>
              <w:rPr>
                <w:spacing w:val="-4"/>
                <w:sz w:val="18"/>
                <w:szCs w:val="20"/>
              </w:rPr>
            </w:pPr>
            <w:r w:rsidRPr="00FC762C">
              <w:rPr>
                <w:spacing w:val="-2"/>
                <w:sz w:val="18"/>
                <w:szCs w:val="20"/>
              </w:rPr>
              <w:t>Excellent</w:t>
            </w:r>
          </w:p>
        </w:tc>
        <w:tc>
          <w:tcPr>
            <w:tcW w:w="1435" w:type="dxa"/>
            <w:vAlign w:val="center"/>
          </w:tcPr>
          <w:p w14:paraId="4B6914FA" w14:textId="77777777" w:rsidR="00E63002" w:rsidRPr="00FC762C" w:rsidRDefault="00E63002" w:rsidP="00D45BD7">
            <w:pPr>
              <w:pStyle w:val="TableParagraph"/>
              <w:spacing w:before="1"/>
              <w:ind w:left="108"/>
              <w:rPr>
                <w:sz w:val="18"/>
                <w:szCs w:val="20"/>
              </w:rPr>
            </w:pPr>
            <w:r w:rsidRPr="00FC762C">
              <w:rPr>
                <w:spacing w:val="-10"/>
                <w:sz w:val="18"/>
                <w:szCs w:val="20"/>
              </w:rPr>
              <w:t>A</w:t>
            </w:r>
          </w:p>
        </w:tc>
        <w:tc>
          <w:tcPr>
            <w:tcW w:w="3060" w:type="dxa"/>
            <w:vAlign w:val="center"/>
          </w:tcPr>
          <w:p w14:paraId="1956A3A6" w14:textId="77777777" w:rsidR="00E63002" w:rsidRPr="00FC762C" w:rsidRDefault="00E63002" w:rsidP="00D45BD7">
            <w:pPr>
              <w:pStyle w:val="TableParagraph"/>
              <w:spacing w:before="1"/>
              <w:ind w:left="108"/>
              <w:jc w:val="center"/>
              <w:rPr>
                <w:sz w:val="18"/>
                <w:szCs w:val="20"/>
              </w:rPr>
            </w:pPr>
            <w:r w:rsidRPr="00FC762C">
              <w:rPr>
                <w:spacing w:val="-4"/>
                <w:sz w:val="18"/>
                <w:szCs w:val="20"/>
              </w:rPr>
              <w:t>4.00</w:t>
            </w:r>
          </w:p>
        </w:tc>
      </w:tr>
      <w:tr w:rsidR="00E63002" w:rsidRPr="00FC762C" w14:paraId="6B71F6D3" w14:textId="77777777" w:rsidTr="00D45BD7">
        <w:trPr>
          <w:trHeight w:val="286"/>
          <w:jc w:val="center"/>
        </w:trPr>
        <w:tc>
          <w:tcPr>
            <w:tcW w:w="1620" w:type="dxa"/>
            <w:vAlign w:val="center"/>
          </w:tcPr>
          <w:p w14:paraId="04A9C4B4" w14:textId="77777777" w:rsidR="00E63002" w:rsidRPr="00FC762C" w:rsidRDefault="00E63002" w:rsidP="00D45BD7">
            <w:pPr>
              <w:pStyle w:val="TableParagraph"/>
              <w:spacing w:before="1"/>
              <w:ind w:left="108"/>
              <w:rPr>
                <w:spacing w:val="-4"/>
                <w:sz w:val="18"/>
                <w:szCs w:val="20"/>
              </w:rPr>
            </w:pPr>
          </w:p>
        </w:tc>
        <w:tc>
          <w:tcPr>
            <w:tcW w:w="1435" w:type="dxa"/>
            <w:vAlign w:val="center"/>
          </w:tcPr>
          <w:p w14:paraId="7FEBD373" w14:textId="77777777" w:rsidR="00E63002" w:rsidRPr="00FC762C" w:rsidRDefault="00E63002" w:rsidP="00D45BD7">
            <w:pPr>
              <w:pStyle w:val="TableParagraph"/>
              <w:spacing w:before="1"/>
              <w:ind w:left="108"/>
              <w:rPr>
                <w:sz w:val="18"/>
                <w:szCs w:val="20"/>
              </w:rPr>
            </w:pPr>
            <w:r w:rsidRPr="00FC762C">
              <w:rPr>
                <w:spacing w:val="-5"/>
                <w:sz w:val="18"/>
                <w:szCs w:val="20"/>
              </w:rPr>
              <w:t>A-</w:t>
            </w:r>
          </w:p>
        </w:tc>
        <w:tc>
          <w:tcPr>
            <w:tcW w:w="3060" w:type="dxa"/>
            <w:vAlign w:val="center"/>
          </w:tcPr>
          <w:p w14:paraId="151BED79" w14:textId="77777777" w:rsidR="00E63002" w:rsidRPr="00FC762C" w:rsidRDefault="00E63002" w:rsidP="00D45BD7">
            <w:pPr>
              <w:pStyle w:val="TableParagraph"/>
              <w:spacing w:before="1"/>
              <w:ind w:left="108"/>
              <w:jc w:val="center"/>
              <w:rPr>
                <w:sz w:val="18"/>
                <w:szCs w:val="20"/>
              </w:rPr>
            </w:pPr>
            <w:r w:rsidRPr="00FC762C">
              <w:rPr>
                <w:spacing w:val="-4"/>
                <w:sz w:val="18"/>
                <w:szCs w:val="20"/>
              </w:rPr>
              <w:t>3.67</w:t>
            </w:r>
          </w:p>
        </w:tc>
      </w:tr>
      <w:tr w:rsidR="00E63002" w:rsidRPr="00FC762C" w14:paraId="0304D9A7" w14:textId="77777777" w:rsidTr="00D45BD7">
        <w:trPr>
          <w:trHeight w:val="287"/>
          <w:jc w:val="center"/>
        </w:trPr>
        <w:tc>
          <w:tcPr>
            <w:tcW w:w="1620" w:type="dxa"/>
            <w:vAlign w:val="center"/>
          </w:tcPr>
          <w:p w14:paraId="0E16DB84" w14:textId="77777777" w:rsidR="00E63002" w:rsidRPr="00FC762C" w:rsidRDefault="00E63002" w:rsidP="00D45BD7">
            <w:pPr>
              <w:pStyle w:val="TableParagraph"/>
              <w:spacing w:before="1"/>
              <w:ind w:left="108"/>
              <w:rPr>
                <w:spacing w:val="-4"/>
                <w:sz w:val="18"/>
                <w:szCs w:val="20"/>
              </w:rPr>
            </w:pPr>
          </w:p>
        </w:tc>
        <w:tc>
          <w:tcPr>
            <w:tcW w:w="1435" w:type="dxa"/>
            <w:vAlign w:val="center"/>
          </w:tcPr>
          <w:p w14:paraId="1DF008C8" w14:textId="77777777" w:rsidR="00E63002" w:rsidRPr="00FC762C" w:rsidRDefault="00E63002" w:rsidP="00D45BD7">
            <w:pPr>
              <w:pStyle w:val="TableParagraph"/>
              <w:spacing w:before="1"/>
              <w:ind w:left="108"/>
              <w:rPr>
                <w:sz w:val="18"/>
                <w:szCs w:val="20"/>
              </w:rPr>
            </w:pPr>
            <w:r w:rsidRPr="00FC762C">
              <w:rPr>
                <w:spacing w:val="-5"/>
                <w:sz w:val="18"/>
                <w:szCs w:val="20"/>
              </w:rPr>
              <w:t>B+</w:t>
            </w:r>
          </w:p>
        </w:tc>
        <w:tc>
          <w:tcPr>
            <w:tcW w:w="3060" w:type="dxa"/>
            <w:vAlign w:val="center"/>
          </w:tcPr>
          <w:p w14:paraId="1C8DB27B" w14:textId="77777777" w:rsidR="00E63002" w:rsidRPr="00FC762C" w:rsidRDefault="00E63002" w:rsidP="00D45BD7">
            <w:pPr>
              <w:pStyle w:val="TableParagraph"/>
              <w:spacing w:before="1"/>
              <w:ind w:left="108"/>
              <w:jc w:val="center"/>
              <w:rPr>
                <w:sz w:val="18"/>
                <w:szCs w:val="20"/>
              </w:rPr>
            </w:pPr>
            <w:r w:rsidRPr="00FC762C">
              <w:rPr>
                <w:spacing w:val="-4"/>
                <w:sz w:val="18"/>
                <w:szCs w:val="20"/>
              </w:rPr>
              <w:t>3.33</w:t>
            </w:r>
          </w:p>
        </w:tc>
      </w:tr>
      <w:tr w:rsidR="00E63002" w:rsidRPr="00FC762C" w14:paraId="238D61E4" w14:textId="77777777" w:rsidTr="00D45BD7">
        <w:trPr>
          <w:trHeight w:val="286"/>
          <w:jc w:val="center"/>
        </w:trPr>
        <w:tc>
          <w:tcPr>
            <w:tcW w:w="1620" w:type="dxa"/>
            <w:vAlign w:val="center"/>
          </w:tcPr>
          <w:p w14:paraId="6C1E7B49" w14:textId="77777777" w:rsidR="00E63002" w:rsidRPr="00FC762C" w:rsidRDefault="00E63002" w:rsidP="00D45BD7">
            <w:pPr>
              <w:pStyle w:val="TableParagraph"/>
              <w:spacing w:before="1"/>
              <w:ind w:left="108"/>
              <w:rPr>
                <w:spacing w:val="-4"/>
                <w:sz w:val="18"/>
                <w:szCs w:val="20"/>
              </w:rPr>
            </w:pPr>
            <w:r w:rsidRPr="00FC762C">
              <w:rPr>
                <w:spacing w:val="-4"/>
                <w:sz w:val="18"/>
                <w:szCs w:val="20"/>
              </w:rPr>
              <w:t>Good</w:t>
            </w:r>
          </w:p>
        </w:tc>
        <w:tc>
          <w:tcPr>
            <w:tcW w:w="1435" w:type="dxa"/>
            <w:vAlign w:val="center"/>
          </w:tcPr>
          <w:p w14:paraId="686C9263" w14:textId="77777777" w:rsidR="00E63002" w:rsidRPr="00FC762C" w:rsidRDefault="00E63002" w:rsidP="00D45BD7">
            <w:pPr>
              <w:pStyle w:val="TableParagraph"/>
              <w:spacing w:before="1"/>
              <w:ind w:left="108"/>
              <w:rPr>
                <w:sz w:val="18"/>
                <w:szCs w:val="20"/>
              </w:rPr>
            </w:pPr>
            <w:r w:rsidRPr="00FC762C">
              <w:rPr>
                <w:spacing w:val="-10"/>
                <w:sz w:val="18"/>
                <w:szCs w:val="20"/>
              </w:rPr>
              <w:t>B</w:t>
            </w:r>
          </w:p>
        </w:tc>
        <w:tc>
          <w:tcPr>
            <w:tcW w:w="3060" w:type="dxa"/>
            <w:vAlign w:val="center"/>
          </w:tcPr>
          <w:p w14:paraId="2838BBE7" w14:textId="77777777" w:rsidR="00E63002" w:rsidRPr="00FC762C" w:rsidRDefault="00E63002" w:rsidP="00D45BD7">
            <w:pPr>
              <w:pStyle w:val="TableParagraph"/>
              <w:spacing w:before="1"/>
              <w:ind w:left="108"/>
              <w:jc w:val="center"/>
              <w:rPr>
                <w:sz w:val="18"/>
                <w:szCs w:val="20"/>
              </w:rPr>
            </w:pPr>
            <w:r w:rsidRPr="00FC762C">
              <w:rPr>
                <w:spacing w:val="-4"/>
                <w:sz w:val="18"/>
                <w:szCs w:val="20"/>
              </w:rPr>
              <w:t>3.00</w:t>
            </w:r>
          </w:p>
        </w:tc>
      </w:tr>
      <w:tr w:rsidR="00E63002" w:rsidRPr="00FC762C" w14:paraId="4586A919" w14:textId="77777777" w:rsidTr="00D45BD7">
        <w:trPr>
          <w:trHeight w:val="286"/>
          <w:jc w:val="center"/>
        </w:trPr>
        <w:tc>
          <w:tcPr>
            <w:tcW w:w="1620" w:type="dxa"/>
            <w:vAlign w:val="center"/>
          </w:tcPr>
          <w:p w14:paraId="01F11A8F" w14:textId="77777777" w:rsidR="00E63002" w:rsidRPr="00FC762C" w:rsidRDefault="00E63002" w:rsidP="00D45BD7">
            <w:pPr>
              <w:pStyle w:val="TableParagraph"/>
              <w:spacing w:before="1"/>
              <w:ind w:left="108"/>
              <w:rPr>
                <w:spacing w:val="-4"/>
                <w:sz w:val="18"/>
                <w:szCs w:val="20"/>
              </w:rPr>
            </w:pPr>
          </w:p>
        </w:tc>
        <w:tc>
          <w:tcPr>
            <w:tcW w:w="1435" w:type="dxa"/>
            <w:vAlign w:val="center"/>
          </w:tcPr>
          <w:p w14:paraId="1994924E" w14:textId="77777777" w:rsidR="00E63002" w:rsidRPr="00FC762C" w:rsidRDefault="00E63002" w:rsidP="00D45BD7">
            <w:pPr>
              <w:pStyle w:val="TableParagraph"/>
              <w:spacing w:before="1"/>
              <w:ind w:left="108"/>
              <w:rPr>
                <w:sz w:val="18"/>
                <w:szCs w:val="20"/>
              </w:rPr>
            </w:pPr>
            <w:r w:rsidRPr="00FC762C">
              <w:rPr>
                <w:spacing w:val="-5"/>
                <w:sz w:val="18"/>
                <w:szCs w:val="20"/>
              </w:rPr>
              <w:t>B-</w:t>
            </w:r>
          </w:p>
        </w:tc>
        <w:tc>
          <w:tcPr>
            <w:tcW w:w="3060" w:type="dxa"/>
            <w:vAlign w:val="center"/>
          </w:tcPr>
          <w:p w14:paraId="73BD7035" w14:textId="77777777" w:rsidR="00E63002" w:rsidRPr="00FC762C" w:rsidRDefault="00E63002" w:rsidP="00D45BD7">
            <w:pPr>
              <w:pStyle w:val="TableParagraph"/>
              <w:spacing w:before="1"/>
              <w:ind w:left="108"/>
              <w:jc w:val="center"/>
              <w:rPr>
                <w:sz w:val="18"/>
                <w:szCs w:val="20"/>
              </w:rPr>
            </w:pPr>
            <w:r w:rsidRPr="00FC762C">
              <w:rPr>
                <w:spacing w:val="-4"/>
                <w:sz w:val="18"/>
                <w:szCs w:val="20"/>
              </w:rPr>
              <w:t>2.67</w:t>
            </w:r>
          </w:p>
        </w:tc>
      </w:tr>
      <w:tr w:rsidR="00E63002" w:rsidRPr="00FC762C" w14:paraId="16B65210" w14:textId="77777777" w:rsidTr="00D45BD7">
        <w:trPr>
          <w:trHeight w:val="287"/>
          <w:jc w:val="center"/>
        </w:trPr>
        <w:tc>
          <w:tcPr>
            <w:tcW w:w="1620" w:type="dxa"/>
            <w:vAlign w:val="center"/>
          </w:tcPr>
          <w:p w14:paraId="5A120A0F" w14:textId="77777777" w:rsidR="00E63002" w:rsidRPr="00FC762C" w:rsidRDefault="00E63002" w:rsidP="00D45BD7">
            <w:pPr>
              <w:pStyle w:val="TableParagraph"/>
              <w:spacing w:before="1"/>
              <w:ind w:left="108"/>
              <w:rPr>
                <w:spacing w:val="-4"/>
                <w:sz w:val="18"/>
                <w:szCs w:val="20"/>
              </w:rPr>
            </w:pPr>
          </w:p>
        </w:tc>
        <w:tc>
          <w:tcPr>
            <w:tcW w:w="1435" w:type="dxa"/>
            <w:vAlign w:val="center"/>
          </w:tcPr>
          <w:p w14:paraId="0118C376" w14:textId="77777777" w:rsidR="00E63002" w:rsidRPr="00FC762C" w:rsidRDefault="00E63002" w:rsidP="00D45BD7">
            <w:pPr>
              <w:pStyle w:val="TableParagraph"/>
              <w:spacing w:before="1"/>
              <w:ind w:left="108"/>
              <w:rPr>
                <w:sz w:val="18"/>
                <w:szCs w:val="20"/>
              </w:rPr>
            </w:pPr>
            <w:r w:rsidRPr="00FC762C">
              <w:rPr>
                <w:spacing w:val="-5"/>
                <w:sz w:val="18"/>
                <w:szCs w:val="20"/>
              </w:rPr>
              <w:t>C+</w:t>
            </w:r>
          </w:p>
        </w:tc>
        <w:tc>
          <w:tcPr>
            <w:tcW w:w="3060" w:type="dxa"/>
            <w:vAlign w:val="center"/>
          </w:tcPr>
          <w:p w14:paraId="2E0F2976" w14:textId="77777777" w:rsidR="00E63002" w:rsidRPr="00FC762C" w:rsidRDefault="00E63002" w:rsidP="00D45BD7">
            <w:pPr>
              <w:pStyle w:val="TableParagraph"/>
              <w:spacing w:before="1"/>
              <w:ind w:left="108"/>
              <w:jc w:val="center"/>
              <w:rPr>
                <w:sz w:val="18"/>
                <w:szCs w:val="20"/>
              </w:rPr>
            </w:pPr>
            <w:r w:rsidRPr="00FC762C">
              <w:rPr>
                <w:spacing w:val="-4"/>
                <w:sz w:val="18"/>
                <w:szCs w:val="20"/>
              </w:rPr>
              <w:t>2.33</w:t>
            </w:r>
          </w:p>
        </w:tc>
      </w:tr>
      <w:tr w:rsidR="00E63002" w:rsidRPr="00FC762C" w14:paraId="46F4CA5E" w14:textId="77777777" w:rsidTr="00D45BD7">
        <w:trPr>
          <w:trHeight w:val="286"/>
          <w:jc w:val="center"/>
        </w:trPr>
        <w:tc>
          <w:tcPr>
            <w:tcW w:w="1620" w:type="dxa"/>
            <w:vAlign w:val="center"/>
          </w:tcPr>
          <w:p w14:paraId="6B76E5A5" w14:textId="77777777" w:rsidR="00E63002" w:rsidRPr="00FC762C" w:rsidRDefault="00E63002" w:rsidP="00D45BD7">
            <w:pPr>
              <w:pStyle w:val="TableParagraph"/>
              <w:spacing w:before="1"/>
              <w:ind w:left="108"/>
              <w:rPr>
                <w:spacing w:val="-4"/>
                <w:sz w:val="18"/>
                <w:szCs w:val="20"/>
              </w:rPr>
            </w:pPr>
            <w:r w:rsidRPr="00FC762C">
              <w:rPr>
                <w:spacing w:val="-2"/>
                <w:sz w:val="18"/>
                <w:szCs w:val="20"/>
              </w:rPr>
              <w:t>Satisfactory</w:t>
            </w:r>
          </w:p>
        </w:tc>
        <w:tc>
          <w:tcPr>
            <w:tcW w:w="1435" w:type="dxa"/>
            <w:vAlign w:val="center"/>
          </w:tcPr>
          <w:p w14:paraId="4B54EB7B" w14:textId="77777777" w:rsidR="00E63002" w:rsidRPr="00FC762C" w:rsidRDefault="00E63002" w:rsidP="00D45BD7">
            <w:pPr>
              <w:pStyle w:val="TableParagraph"/>
              <w:spacing w:before="1"/>
              <w:ind w:left="108"/>
              <w:rPr>
                <w:sz w:val="18"/>
                <w:szCs w:val="20"/>
              </w:rPr>
            </w:pPr>
            <w:r w:rsidRPr="00FC762C">
              <w:rPr>
                <w:spacing w:val="-10"/>
                <w:sz w:val="18"/>
                <w:szCs w:val="20"/>
              </w:rPr>
              <w:t>C</w:t>
            </w:r>
          </w:p>
        </w:tc>
        <w:tc>
          <w:tcPr>
            <w:tcW w:w="3060" w:type="dxa"/>
            <w:vAlign w:val="center"/>
          </w:tcPr>
          <w:p w14:paraId="13DAAB92" w14:textId="77777777" w:rsidR="00E63002" w:rsidRPr="00FC762C" w:rsidRDefault="00E63002" w:rsidP="00D45BD7">
            <w:pPr>
              <w:pStyle w:val="TableParagraph"/>
              <w:spacing w:before="1"/>
              <w:ind w:left="108"/>
              <w:jc w:val="center"/>
              <w:rPr>
                <w:sz w:val="18"/>
                <w:szCs w:val="20"/>
              </w:rPr>
            </w:pPr>
            <w:r w:rsidRPr="00FC762C">
              <w:rPr>
                <w:spacing w:val="-4"/>
                <w:sz w:val="18"/>
                <w:szCs w:val="20"/>
              </w:rPr>
              <w:t>2.00</w:t>
            </w:r>
          </w:p>
        </w:tc>
      </w:tr>
      <w:tr w:rsidR="00E63002" w:rsidRPr="00FC762C" w14:paraId="7A759101" w14:textId="77777777" w:rsidTr="00D45BD7">
        <w:trPr>
          <w:trHeight w:val="287"/>
          <w:jc w:val="center"/>
        </w:trPr>
        <w:tc>
          <w:tcPr>
            <w:tcW w:w="1620" w:type="dxa"/>
            <w:vAlign w:val="center"/>
          </w:tcPr>
          <w:p w14:paraId="3804592E" w14:textId="77777777" w:rsidR="00E63002" w:rsidRPr="00FC762C" w:rsidRDefault="00E63002" w:rsidP="00D45BD7">
            <w:pPr>
              <w:pStyle w:val="TableParagraph"/>
              <w:spacing w:before="1"/>
              <w:ind w:left="108"/>
              <w:rPr>
                <w:spacing w:val="-4"/>
                <w:sz w:val="18"/>
                <w:szCs w:val="20"/>
              </w:rPr>
            </w:pPr>
          </w:p>
        </w:tc>
        <w:tc>
          <w:tcPr>
            <w:tcW w:w="1435" w:type="dxa"/>
            <w:vAlign w:val="center"/>
          </w:tcPr>
          <w:p w14:paraId="19DE1C2B" w14:textId="77777777" w:rsidR="00E63002" w:rsidRPr="00FC762C" w:rsidRDefault="00E63002" w:rsidP="00D45BD7">
            <w:pPr>
              <w:pStyle w:val="TableParagraph"/>
              <w:spacing w:before="1"/>
              <w:ind w:left="108"/>
              <w:rPr>
                <w:sz w:val="18"/>
                <w:szCs w:val="20"/>
              </w:rPr>
            </w:pPr>
            <w:r w:rsidRPr="00FC762C">
              <w:rPr>
                <w:spacing w:val="-5"/>
                <w:sz w:val="18"/>
                <w:szCs w:val="20"/>
              </w:rPr>
              <w:t>C-</w:t>
            </w:r>
          </w:p>
        </w:tc>
        <w:tc>
          <w:tcPr>
            <w:tcW w:w="3060" w:type="dxa"/>
            <w:vAlign w:val="center"/>
          </w:tcPr>
          <w:p w14:paraId="78EB6B05" w14:textId="77777777" w:rsidR="00E63002" w:rsidRPr="00FC762C" w:rsidRDefault="00E63002" w:rsidP="00D45BD7">
            <w:pPr>
              <w:pStyle w:val="TableParagraph"/>
              <w:spacing w:before="1"/>
              <w:ind w:left="108"/>
              <w:jc w:val="center"/>
              <w:rPr>
                <w:sz w:val="18"/>
                <w:szCs w:val="20"/>
              </w:rPr>
            </w:pPr>
            <w:r w:rsidRPr="00FC762C">
              <w:rPr>
                <w:spacing w:val="-4"/>
                <w:sz w:val="18"/>
                <w:szCs w:val="20"/>
              </w:rPr>
              <w:t>1.67</w:t>
            </w:r>
          </w:p>
        </w:tc>
      </w:tr>
      <w:tr w:rsidR="00E63002" w:rsidRPr="00FC762C" w14:paraId="5F3F3CAB" w14:textId="77777777" w:rsidTr="00D45BD7">
        <w:trPr>
          <w:trHeight w:val="286"/>
          <w:jc w:val="center"/>
        </w:trPr>
        <w:tc>
          <w:tcPr>
            <w:tcW w:w="1620" w:type="dxa"/>
            <w:vAlign w:val="center"/>
          </w:tcPr>
          <w:p w14:paraId="0B48CCAD" w14:textId="77777777" w:rsidR="00E63002" w:rsidRPr="00FC762C" w:rsidRDefault="00E63002" w:rsidP="00D45BD7">
            <w:pPr>
              <w:pStyle w:val="TableParagraph"/>
              <w:spacing w:before="1"/>
              <w:ind w:left="108"/>
              <w:rPr>
                <w:spacing w:val="-4"/>
                <w:sz w:val="18"/>
                <w:szCs w:val="20"/>
              </w:rPr>
            </w:pPr>
          </w:p>
        </w:tc>
        <w:tc>
          <w:tcPr>
            <w:tcW w:w="1435" w:type="dxa"/>
            <w:vAlign w:val="center"/>
          </w:tcPr>
          <w:p w14:paraId="02E0BF53" w14:textId="77777777" w:rsidR="00E63002" w:rsidRPr="00FC762C" w:rsidRDefault="00E63002" w:rsidP="00D45BD7">
            <w:pPr>
              <w:pStyle w:val="TableParagraph"/>
              <w:spacing w:before="1"/>
              <w:ind w:left="108"/>
              <w:rPr>
                <w:sz w:val="18"/>
                <w:szCs w:val="20"/>
              </w:rPr>
            </w:pPr>
            <w:r w:rsidRPr="00FC762C">
              <w:rPr>
                <w:spacing w:val="-5"/>
                <w:sz w:val="18"/>
                <w:szCs w:val="20"/>
              </w:rPr>
              <w:t>D+</w:t>
            </w:r>
          </w:p>
        </w:tc>
        <w:tc>
          <w:tcPr>
            <w:tcW w:w="3060" w:type="dxa"/>
            <w:vAlign w:val="center"/>
          </w:tcPr>
          <w:p w14:paraId="031888A8" w14:textId="77777777" w:rsidR="00E63002" w:rsidRPr="00FC762C" w:rsidRDefault="00E63002" w:rsidP="00D45BD7">
            <w:pPr>
              <w:pStyle w:val="TableParagraph"/>
              <w:spacing w:before="1"/>
              <w:ind w:left="108"/>
              <w:jc w:val="center"/>
              <w:rPr>
                <w:sz w:val="18"/>
                <w:szCs w:val="20"/>
              </w:rPr>
            </w:pPr>
            <w:r w:rsidRPr="00FC762C">
              <w:rPr>
                <w:spacing w:val="-4"/>
                <w:sz w:val="18"/>
                <w:szCs w:val="20"/>
              </w:rPr>
              <w:t>1.33</w:t>
            </w:r>
          </w:p>
        </w:tc>
      </w:tr>
      <w:tr w:rsidR="00E63002" w:rsidRPr="00FC762C" w14:paraId="3AC817FD" w14:textId="77777777" w:rsidTr="00D45BD7">
        <w:trPr>
          <w:trHeight w:val="286"/>
          <w:jc w:val="center"/>
        </w:trPr>
        <w:tc>
          <w:tcPr>
            <w:tcW w:w="1620" w:type="dxa"/>
            <w:vAlign w:val="center"/>
          </w:tcPr>
          <w:p w14:paraId="18076055" w14:textId="77777777" w:rsidR="00E63002" w:rsidRPr="00FC762C" w:rsidRDefault="00E63002" w:rsidP="00D45BD7">
            <w:pPr>
              <w:pStyle w:val="TableParagraph"/>
              <w:spacing w:before="1"/>
              <w:ind w:left="108"/>
              <w:rPr>
                <w:spacing w:val="-4"/>
                <w:sz w:val="18"/>
                <w:szCs w:val="20"/>
              </w:rPr>
            </w:pPr>
            <w:r w:rsidRPr="00FC762C">
              <w:rPr>
                <w:spacing w:val="-4"/>
                <w:sz w:val="18"/>
                <w:szCs w:val="20"/>
              </w:rPr>
              <w:t>Poor</w:t>
            </w:r>
          </w:p>
        </w:tc>
        <w:tc>
          <w:tcPr>
            <w:tcW w:w="1435" w:type="dxa"/>
            <w:vAlign w:val="center"/>
          </w:tcPr>
          <w:p w14:paraId="6E076482" w14:textId="77777777" w:rsidR="00E63002" w:rsidRPr="00FC762C" w:rsidRDefault="00E63002" w:rsidP="00D45BD7">
            <w:pPr>
              <w:pStyle w:val="TableParagraph"/>
              <w:spacing w:before="1"/>
              <w:ind w:left="108"/>
              <w:rPr>
                <w:sz w:val="18"/>
                <w:szCs w:val="20"/>
              </w:rPr>
            </w:pPr>
            <w:r w:rsidRPr="00FC762C">
              <w:rPr>
                <w:spacing w:val="-10"/>
                <w:sz w:val="18"/>
                <w:szCs w:val="20"/>
              </w:rPr>
              <w:t>D</w:t>
            </w:r>
          </w:p>
        </w:tc>
        <w:tc>
          <w:tcPr>
            <w:tcW w:w="3060" w:type="dxa"/>
            <w:vAlign w:val="center"/>
          </w:tcPr>
          <w:p w14:paraId="2CA7C1F1" w14:textId="77777777" w:rsidR="00E63002" w:rsidRPr="00FC762C" w:rsidRDefault="00E63002" w:rsidP="00D45BD7">
            <w:pPr>
              <w:pStyle w:val="TableParagraph"/>
              <w:spacing w:before="1"/>
              <w:ind w:left="108"/>
              <w:jc w:val="center"/>
              <w:rPr>
                <w:sz w:val="18"/>
                <w:szCs w:val="20"/>
              </w:rPr>
            </w:pPr>
            <w:r w:rsidRPr="00FC762C">
              <w:rPr>
                <w:spacing w:val="-4"/>
                <w:sz w:val="18"/>
                <w:szCs w:val="20"/>
              </w:rPr>
              <w:t>1.00</w:t>
            </w:r>
          </w:p>
        </w:tc>
      </w:tr>
      <w:tr w:rsidR="00E63002" w:rsidRPr="00FC762C" w14:paraId="7A89920C" w14:textId="77777777" w:rsidTr="00D45BD7">
        <w:trPr>
          <w:trHeight w:val="287"/>
          <w:jc w:val="center"/>
        </w:trPr>
        <w:tc>
          <w:tcPr>
            <w:tcW w:w="1620" w:type="dxa"/>
            <w:vAlign w:val="center"/>
          </w:tcPr>
          <w:p w14:paraId="294D0BCB" w14:textId="77777777" w:rsidR="00E63002" w:rsidRPr="00FC762C" w:rsidRDefault="00E63002" w:rsidP="00D45BD7">
            <w:pPr>
              <w:pStyle w:val="TableParagraph"/>
              <w:spacing w:before="1"/>
              <w:ind w:left="108"/>
              <w:rPr>
                <w:spacing w:val="-4"/>
                <w:sz w:val="18"/>
                <w:szCs w:val="20"/>
              </w:rPr>
            </w:pPr>
          </w:p>
        </w:tc>
        <w:tc>
          <w:tcPr>
            <w:tcW w:w="1435" w:type="dxa"/>
            <w:vAlign w:val="center"/>
          </w:tcPr>
          <w:p w14:paraId="0BCA3E25" w14:textId="77777777" w:rsidR="00E63002" w:rsidRPr="00FC762C" w:rsidRDefault="00E63002" w:rsidP="00D45BD7">
            <w:pPr>
              <w:pStyle w:val="TableParagraph"/>
              <w:spacing w:before="1"/>
              <w:ind w:left="108"/>
              <w:rPr>
                <w:sz w:val="18"/>
                <w:szCs w:val="20"/>
              </w:rPr>
            </w:pPr>
            <w:r w:rsidRPr="00FC762C">
              <w:rPr>
                <w:spacing w:val="-5"/>
                <w:sz w:val="18"/>
                <w:szCs w:val="20"/>
              </w:rPr>
              <w:t>D-</w:t>
            </w:r>
          </w:p>
        </w:tc>
        <w:tc>
          <w:tcPr>
            <w:tcW w:w="3060" w:type="dxa"/>
            <w:vAlign w:val="center"/>
          </w:tcPr>
          <w:p w14:paraId="68BECB49" w14:textId="77777777" w:rsidR="00E63002" w:rsidRPr="00FC762C" w:rsidRDefault="00E63002" w:rsidP="00D45BD7">
            <w:pPr>
              <w:pStyle w:val="TableParagraph"/>
              <w:spacing w:before="1"/>
              <w:ind w:left="108"/>
              <w:jc w:val="center"/>
              <w:rPr>
                <w:sz w:val="18"/>
                <w:szCs w:val="20"/>
              </w:rPr>
            </w:pPr>
            <w:r w:rsidRPr="00FC762C">
              <w:rPr>
                <w:spacing w:val="-4"/>
                <w:sz w:val="18"/>
                <w:szCs w:val="20"/>
              </w:rPr>
              <w:t>0.67</w:t>
            </w:r>
          </w:p>
        </w:tc>
      </w:tr>
      <w:tr w:rsidR="00E63002" w:rsidRPr="00FC762C" w14:paraId="7B430D9B" w14:textId="77777777" w:rsidTr="00D45BD7">
        <w:trPr>
          <w:trHeight w:val="286"/>
          <w:jc w:val="center"/>
        </w:trPr>
        <w:tc>
          <w:tcPr>
            <w:tcW w:w="1620" w:type="dxa"/>
            <w:vAlign w:val="center"/>
          </w:tcPr>
          <w:p w14:paraId="0AB4D118" w14:textId="77777777" w:rsidR="00E63002" w:rsidRPr="00FC762C" w:rsidRDefault="00E63002" w:rsidP="00D45BD7">
            <w:pPr>
              <w:pStyle w:val="TableParagraph"/>
              <w:spacing w:before="1"/>
              <w:ind w:left="108"/>
              <w:rPr>
                <w:spacing w:val="-4"/>
                <w:sz w:val="18"/>
                <w:szCs w:val="20"/>
              </w:rPr>
            </w:pPr>
            <w:r w:rsidRPr="00FC762C">
              <w:rPr>
                <w:spacing w:val="-2"/>
                <w:sz w:val="18"/>
                <w:szCs w:val="20"/>
              </w:rPr>
              <w:t>Failing</w:t>
            </w:r>
          </w:p>
        </w:tc>
        <w:tc>
          <w:tcPr>
            <w:tcW w:w="1435" w:type="dxa"/>
            <w:vAlign w:val="center"/>
          </w:tcPr>
          <w:p w14:paraId="55C64D6D" w14:textId="77777777" w:rsidR="00E63002" w:rsidRPr="00FC762C" w:rsidRDefault="00E63002" w:rsidP="00D45BD7">
            <w:pPr>
              <w:pStyle w:val="TableParagraph"/>
              <w:spacing w:before="1"/>
              <w:ind w:left="108"/>
              <w:rPr>
                <w:sz w:val="18"/>
                <w:szCs w:val="20"/>
              </w:rPr>
            </w:pPr>
            <w:r w:rsidRPr="00FC762C">
              <w:rPr>
                <w:spacing w:val="-10"/>
                <w:sz w:val="18"/>
                <w:szCs w:val="20"/>
              </w:rPr>
              <w:t>F</w:t>
            </w:r>
          </w:p>
        </w:tc>
        <w:tc>
          <w:tcPr>
            <w:tcW w:w="3060" w:type="dxa"/>
            <w:vAlign w:val="center"/>
          </w:tcPr>
          <w:p w14:paraId="339521EB" w14:textId="77777777" w:rsidR="00E63002" w:rsidRPr="00FC762C" w:rsidRDefault="00E63002" w:rsidP="00D45BD7">
            <w:pPr>
              <w:pStyle w:val="TableParagraph"/>
              <w:spacing w:before="1"/>
              <w:ind w:left="108"/>
              <w:jc w:val="center"/>
              <w:rPr>
                <w:sz w:val="18"/>
                <w:szCs w:val="20"/>
              </w:rPr>
            </w:pPr>
            <w:r w:rsidRPr="00FC762C">
              <w:rPr>
                <w:spacing w:val="-4"/>
                <w:sz w:val="18"/>
                <w:szCs w:val="20"/>
              </w:rPr>
              <w:t>0.00</w:t>
            </w:r>
          </w:p>
        </w:tc>
      </w:tr>
    </w:tbl>
    <w:p w14:paraId="566E0053" w14:textId="77777777" w:rsidR="00E63002" w:rsidRDefault="00E63002" w:rsidP="00E63002">
      <w:pPr>
        <w:spacing w:before="0" w:after="160" w:line="259" w:lineRule="auto"/>
      </w:pPr>
      <w:bookmarkStart w:id="24" w:name="_Hlk179295972"/>
      <w:bookmarkEnd w:id="21"/>
      <w:bookmarkEnd w:id="22"/>
    </w:p>
    <w:p w14:paraId="550F4425" w14:textId="77777777" w:rsidR="00E63002" w:rsidRPr="00F3420E" w:rsidRDefault="00E63002" w:rsidP="00E63002">
      <w:pPr>
        <w:spacing w:before="0" w:after="160" w:line="259" w:lineRule="auto"/>
      </w:pPr>
      <w:r w:rsidRPr="00F3420E">
        <w:t>Listed below is a breakdown of</w:t>
      </w:r>
      <w:r>
        <w:t xml:space="preserve"> course components that will shape and determine your final semester grade</w:t>
      </w:r>
      <w:r w:rsidRPr="00F3420E">
        <w:t>, presented in the sequence of appearance in the course</w:t>
      </w:r>
      <w:r>
        <w:t>:</w:t>
      </w:r>
      <w:r>
        <w:br/>
      </w:r>
    </w:p>
    <w:tbl>
      <w:tblPr>
        <w:tblStyle w:val="ListTable3-Accent5"/>
        <w:tblW w:w="0" w:type="auto"/>
        <w:jc w:val="cente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Caption w:val="Final Grade Elements"/>
        <w:tblDescription w:val="This table shows the relative contribution of each assignment or activity in the course toward the final course grade."/>
      </w:tblPr>
      <w:tblGrid>
        <w:gridCol w:w="4135"/>
      </w:tblGrid>
      <w:tr w:rsidR="00E63002" w:rsidRPr="00C25E6B" w14:paraId="7983E7D4" w14:textId="77777777" w:rsidTr="00D45BD7">
        <w:trPr>
          <w:cnfStyle w:val="100000000000" w:firstRow="1" w:lastRow="0" w:firstColumn="0" w:lastColumn="0" w:oddVBand="0" w:evenVBand="0" w:oddHBand="0" w:evenHBand="0" w:firstRowFirstColumn="0" w:firstRowLastColumn="0" w:lastRowFirstColumn="0" w:lastRowLastColumn="0"/>
          <w:trHeight w:val="368"/>
          <w:tblHeader/>
          <w:jc w:val="center"/>
        </w:trPr>
        <w:tc>
          <w:tcPr>
            <w:cnfStyle w:val="001000000100" w:firstRow="0" w:lastRow="0" w:firstColumn="1" w:lastColumn="0" w:oddVBand="0" w:evenVBand="0" w:oddHBand="0" w:evenHBand="0" w:firstRowFirstColumn="1" w:firstRowLastColumn="0" w:lastRowFirstColumn="0" w:lastRowLastColumn="0"/>
            <w:tcW w:w="4135" w:type="dxa"/>
            <w:shd w:val="clear" w:color="auto" w:fill="auto"/>
          </w:tcPr>
          <w:p w14:paraId="45B63108" w14:textId="77777777" w:rsidR="00E63002" w:rsidRPr="00B65E79" w:rsidRDefault="00E63002" w:rsidP="00D45BD7">
            <w:pPr>
              <w:rPr>
                <w:color w:val="000000" w:themeColor="text1"/>
                <w:sz w:val="20"/>
                <w:szCs w:val="20"/>
              </w:rPr>
            </w:pPr>
            <w:r w:rsidRPr="00B65E79">
              <w:rPr>
                <w:color w:val="000000" w:themeColor="text1"/>
                <w:sz w:val="20"/>
                <w:szCs w:val="20"/>
              </w:rPr>
              <w:t>Course components</w:t>
            </w:r>
          </w:p>
        </w:tc>
      </w:tr>
      <w:tr w:rsidR="00E63002" w:rsidRPr="00577397" w14:paraId="42534A49" w14:textId="77777777" w:rsidTr="00D45BD7">
        <w:trPr>
          <w:cnfStyle w:val="000000100000" w:firstRow="0" w:lastRow="0" w:firstColumn="0" w:lastColumn="0" w:oddVBand="0" w:evenVBand="0" w:oddHBand="1" w:evenHBand="0" w:firstRowFirstColumn="0" w:firstRowLastColumn="0" w:lastRowFirstColumn="0" w:lastRowLastColumn="0"/>
          <w:trHeight w:hRule="exact" w:val="288"/>
          <w:jc w:val="center"/>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5461ADBF" w14:textId="77777777" w:rsidR="00E63002" w:rsidRPr="00B65E79" w:rsidRDefault="00E63002" w:rsidP="00D45BD7">
            <w:pPr>
              <w:spacing w:before="0" w:after="0"/>
              <w:rPr>
                <w:b w:val="0"/>
                <w:sz w:val="20"/>
                <w:szCs w:val="20"/>
              </w:rPr>
            </w:pPr>
            <w:r>
              <w:rPr>
                <w:b w:val="0"/>
                <w:sz w:val="20"/>
                <w:szCs w:val="20"/>
              </w:rPr>
              <w:t>Peer Reviews</w:t>
            </w:r>
            <w:r w:rsidRPr="00B65E79">
              <w:rPr>
                <w:b w:val="0"/>
                <w:sz w:val="20"/>
                <w:szCs w:val="20"/>
              </w:rPr>
              <w:t xml:space="preserve"> (</w:t>
            </w:r>
            <w:r>
              <w:rPr>
                <w:b w:val="0"/>
                <w:sz w:val="20"/>
                <w:szCs w:val="20"/>
              </w:rPr>
              <w:t>4</w:t>
            </w:r>
            <w:r w:rsidRPr="00B65E79">
              <w:rPr>
                <w:b w:val="0"/>
                <w:sz w:val="20"/>
                <w:szCs w:val="20"/>
              </w:rPr>
              <w:t>)</w:t>
            </w:r>
          </w:p>
        </w:tc>
      </w:tr>
      <w:tr w:rsidR="00E63002" w:rsidRPr="00577397" w14:paraId="3F131601" w14:textId="77777777" w:rsidTr="00D45BD7">
        <w:trPr>
          <w:trHeight w:hRule="exact" w:val="288"/>
          <w:jc w:val="center"/>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10559A74" w14:textId="77777777" w:rsidR="00E63002" w:rsidRPr="00B65E79" w:rsidRDefault="00E63002" w:rsidP="00D45BD7">
            <w:pPr>
              <w:spacing w:before="0" w:after="0"/>
              <w:rPr>
                <w:b w:val="0"/>
                <w:sz w:val="20"/>
                <w:szCs w:val="20"/>
              </w:rPr>
            </w:pPr>
            <w:r>
              <w:rPr>
                <w:b w:val="0"/>
                <w:sz w:val="20"/>
                <w:szCs w:val="20"/>
              </w:rPr>
              <w:t>Threaded Discussions (3)</w:t>
            </w:r>
          </w:p>
        </w:tc>
      </w:tr>
      <w:tr w:rsidR="00E63002" w:rsidRPr="00577397" w14:paraId="621698EF" w14:textId="77777777" w:rsidTr="00D45BD7">
        <w:trPr>
          <w:cnfStyle w:val="000000100000" w:firstRow="0" w:lastRow="0" w:firstColumn="0" w:lastColumn="0" w:oddVBand="0" w:evenVBand="0" w:oddHBand="1" w:evenHBand="0" w:firstRowFirstColumn="0" w:firstRowLastColumn="0" w:lastRowFirstColumn="0" w:lastRowLastColumn="0"/>
          <w:trHeight w:hRule="exact" w:val="288"/>
          <w:jc w:val="center"/>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5A3FF13D" w14:textId="77777777" w:rsidR="00E63002" w:rsidRDefault="00E63002" w:rsidP="00D45BD7">
            <w:pPr>
              <w:spacing w:before="0" w:after="0"/>
              <w:rPr>
                <w:b w:val="0"/>
                <w:sz w:val="20"/>
                <w:szCs w:val="20"/>
              </w:rPr>
            </w:pPr>
            <w:r>
              <w:rPr>
                <w:b w:val="0"/>
                <w:sz w:val="20"/>
                <w:szCs w:val="20"/>
              </w:rPr>
              <w:t>Self-Reflection Essays (3)</w:t>
            </w:r>
          </w:p>
        </w:tc>
      </w:tr>
      <w:tr w:rsidR="00E63002" w:rsidRPr="00577397" w14:paraId="524F9F89" w14:textId="77777777" w:rsidTr="00D45BD7">
        <w:trPr>
          <w:trHeight w:hRule="exact" w:val="288"/>
          <w:jc w:val="center"/>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17F5F89F" w14:textId="77777777" w:rsidR="00E63002" w:rsidRPr="00B65E79" w:rsidRDefault="00E63002" w:rsidP="00D45BD7">
            <w:pPr>
              <w:spacing w:before="0" w:after="0"/>
              <w:rPr>
                <w:b w:val="0"/>
                <w:sz w:val="20"/>
                <w:szCs w:val="20"/>
              </w:rPr>
            </w:pPr>
            <w:r>
              <w:rPr>
                <w:b w:val="0"/>
                <w:sz w:val="20"/>
                <w:szCs w:val="20"/>
              </w:rPr>
              <w:t>Weekly Projects (4)</w:t>
            </w:r>
          </w:p>
        </w:tc>
      </w:tr>
    </w:tbl>
    <w:bookmarkEnd w:id="24"/>
    <w:p w14:paraId="53A83850" w14:textId="77777777" w:rsidR="00E63002" w:rsidRPr="005D4731" w:rsidRDefault="00E63002" w:rsidP="00E63002">
      <w:pPr>
        <w:spacing w:before="0" w:after="0"/>
        <w:ind w:left="180" w:hanging="180"/>
        <w:rPr>
          <w:sz w:val="16"/>
          <w:szCs w:val="16"/>
        </w:rPr>
      </w:pPr>
      <w:r>
        <w:rPr>
          <w:sz w:val="16"/>
          <w:szCs w:val="16"/>
        </w:rPr>
        <w:br/>
      </w:r>
    </w:p>
    <w:p w14:paraId="77854454" w14:textId="77777777" w:rsidR="00E63002" w:rsidRPr="00C711C6" w:rsidRDefault="00E63002" w:rsidP="00E63002">
      <w:pPr>
        <w:pStyle w:val="Heading2"/>
      </w:pPr>
      <w:bookmarkStart w:id="25" w:name="_Toc201044720"/>
      <w:r w:rsidRPr="00C711C6">
        <w:t xml:space="preserve">Attendance </w:t>
      </w:r>
      <w:bookmarkEnd w:id="25"/>
    </w:p>
    <w:p w14:paraId="4E9B409A" w14:textId="77777777" w:rsidR="00E63002" w:rsidRPr="00C711C6" w:rsidRDefault="00E63002" w:rsidP="00E63002">
      <w:r w:rsidRPr="00C711C6">
        <w:t>In keeping with the "un-grading" policy of the course</w:t>
      </w:r>
      <w:r>
        <w:t xml:space="preserve"> (see above)</w:t>
      </w:r>
      <w:r w:rsidRPr="00C711C6">
        <w:t xml:space="preserve">, </w:t>
      </w:r>
      <w:r>
        <w:t>I</w:t>
      </w:r>
      <w:r w:rsidRPr="00C711C6">
        <w:t xml:space="preserve"> will not take official attendance nor deduct points for missed classes or late arrivals. The class will move quickly, however, so it's your responsibility to check in with both of us should you miss any course content or instruction. More than most other courses, what </w:t>
      </w:r>
      <w:r>
        <w:t>I</w:t>
      </w:r>
      <w:r w:rsidRPr="00C711C6">
        <w:t xml:space="preserve"> study and practice on a </w:t>
      </w:r>
      <w:r>
        <w:t>Monday</w:t>
      </w:r>
      <w:r w:rsidRPr="00C711C6">
        <w:t xml:space="preserve"> will be essential for what </w:t>
      </w:r>
      <w:r>
        <w:t>I</w:t>
      </w:r>
      <w:r w:rsidRPr="00C711C6">
        <w:t xml:space="preserve">'ll </w:t>
      </w:r>
      <w:r w:rsidRPr="00C711C6">
        <w:lastRenderedPageBreak/>
        <w:t xml:space="preserve">study on </w:t>
      </w:r>
      <w:r>
        <w:t>Wednesday</w:t>
      </w:r>
      <w:r w:rsidRPr="00C711C6">
        <w:t>, etc. (imagine learning multiplication without knowing first how to add). Missing class equals missing important steps in the learning process. A pattern of absences may also affect the case you build for your semester grade.</w:t>
      </w:r>
    </w:p>
    <w:p w14:paraId="350A37FA" w14:textId="77777777" w:rsidR="00E63002" w:rsidRPr="00C711C6" w:rsidRDefault="00E63002" w:rsidP="00E63002">
      <w:pPr>
        <w:rPr>
          <w:sz w:val="6"/>
          <w:szCs w:val="6"/>
        </w:rPr>
      </w:pPr>
      <w:r w:rsidRPr="00C711C6">
        <w:t>If for some reason you anticipate being absent, arriving late, or leaving early during a class period, </w:t>
      </w:r>
      <w:r w:rsidRPr="00C711C6">
        <w:rPr>
          <w:b/>
          <w:bCs/>
        </w:rPr>
        <w:t>please let us know beforehand</w:t>
      </w:r>
      <w:r w:rsidRPr="00C711C6">
        <w:t>!</w:t>
      </w:r>
      <w:r>
        <w:br/>
      </w:r>
    </w:p>
    <w:p w14:paraId="6412381A" w14:textId="77777777" w:rsidR="00E63002" w:rsidRDefault="00E63002" w:rsidP="00E63002">
      <w:pPr>
        <w:pStyle w:val="BodyText"/>
        <w:ind w:left="360"/>
        <w:rPr>
          <w:color w:val="000000" w:themeColor="text1"/>
          <w:sz w:val="20"/>
          <w:szCs w:val="22"/>
        </w:rPr>
      </w:pPr>
      <w:r w:rsidRPr="00C711C6">
        <w:rPr>
          <w:color w:val="000000" w:themeColor="text1"/>
          <w:sz w:val="20"/>
          <w:szCs w:val="22"/>
        </w:rPr>
        <w:t>(</w:t>
      </w:r>
      <w:r w:rsidRPr="00C711C6">
        <w:rPr>
          <w:i/>
          <w:iCs/>
          <w:color w:val="000000" w:themeColor="text1"/>
          <w:sz w:val="20"/>
          <w:szCs w:val="22"/>
        </w:rPr>
        <w:t xml:space="preserve">Note: </w:t>
      </w:r>
      <w:r>
        <w:rPr>
          <w:color w:val="000000" w:themeColor="text1"/>
          <w:sz w:val="20"/>
          <w:szCs w:val="22"/>
        </w:rPr>
        <w:t>I</w:t>
      </w:r>
      <w:r w:rsidRPr="00C711C6">
        <w:rPr>
          <w:color w:val="000000" w:themeColor="text1"/>
          <w:sz w:val="20"/>
          <w:szCs w:val="22"/>
        </w:rPr>
        <w:t xml:space="preserve"> do not take attendance, but for the record: because it is considered an infringement on student privacy for faculty to have access to student medical records, </w:t>
      </w:r>
      <w:r>
        <w:rPr>
          <w:color w:val="000000" w:themeColor="text1"/>
          <w:sz w:val="20"/>
          <w:szCs w:val="22"/>
        </w:rPr>
        <w:t>faculty</w:t>
      </w:r>
      <w:r w:rsidRPr="00C711C6">
        <w:rPr>
          <w:color w:val="000000" w:themeColor="text1"/>
          <w:sz w:val="20"/>
          <w:szCs w:val="22"/>
        </w:rPr>
        <w:t xml:space="preserve"> cannot accept medical documentation to justify absences. If you have a legitimate reason for your absence and want to provide verification, please access the Absence Documentation Form </w:t>
      </w:r>
      <w:hyperlink r:id="rId14" w:history="1">
        <w:r w:rsidRPr="00C711C6">
          <w:rPr>
            <w:rStyle w:val="Hyperlink"/>
            <w:rFonts w:eastAsiaTheme="majorEastAsia"/>
            <w:sz w:val="20"/>
            <w:szCs w:val="22"/>
          </w:rPr>
          <w:t>here</w:t>
        </w:r>
      </w:hyperlink>
      <w:r w:rsidRPr="00C711C6">
        <w:rPr>
          <w:color w:val="000000" w:themeColor="text1"/>
          <w:sz w:val="20"/>
          <w:szCs w:val="22"/>
        </w:rPr>
        <w:t>.)</w:t>
      </w:r>
    </w:p>
    <w:p w14:paraId="29FF25D2" w14:textId="77777777" w:rsidR="00E63002" w:rsidRDefault="00E63002" w:rsidP="00E63002">
      <w:pPr>
        <w:pStyle w:val="BodyText"/>
        <w:rPr>
          <w:color w:val="000000" w:themeColor="text1"/>
          <w:sz w:val="20"/>
          <w:szCs w:val="22"/>
        </w:rPr>
      </w:pPr>
    </w:p>
    <w:p w14:paraId="3C5AC41A" w14:textId="77777777" w:rsidR="00E63002" w:rsidRPr="000078C6" w:rsidRDefault="00E63002" w:rsidP="00E63002">
      <w:pPr>
        <w:pStyle w:val="BodyText"/>
        <w:rPr>
          <w:color w:val="000000" w:themeColor="text1"/>
          <w:szCs w:val="22"/>
        </w:rPr>
      </w:pPr>
      <w:r w:rsidRPr="000078C6">
        <w:rPr>
          <w:b/>
          <w:bCs/>
          <w:color w:val="000000" w:themeColor="text1"/>
          <w:szCs w:val="22"/>
        </w:rPr>
        <w:t>Excused Absences or Official University Absences</w:t>
      </w:r>
      <w:r w:rsidRPr="000078C6">
        <w:rPr>
          <w:color w:val="000000" w:themeColor="text1"/>
          <w:szCs w:val="22"/>
        </w:rPr>
        <w:t xml:space="preserve"> are absences described in the Official University Absence Policy and include the following: Title IX related issues, military leave, holy days, and university related absences. As faculty </w:t>
      </w:r>
      <w:r>
        <w:rPr>
          <w:color w:val="000000" w:themeColor="text1"/>
          <w:szCs w:val="22"/>
        </w:rPr>
        <w:t>I</w:t>
      </w:r>
      <w:r w:rsidRPr="000078C6">
        <w:rPr>
          <w:color w:val="000000" w:themeColor="text1"/>
          <w:szCs w:val="22"/>
        </w:rPr>
        <w:t xml:space="preserve"> may not penalize students for these absences and must allow for the completion of assignments and exams within a reasonable amount of time after the absences. Beyond these, faculty retain all discretion for consideration of a student’s absence, including absences verified by the Dean of Students’ Office.</w:t>
      </w:r>
    </w:p>
    <w:p w14:paraId="0121F8FC" w14:textId="77777777" w:rsidR="00E63002" w:rsidRDefault="00E63002" w:rsidP="00E63002">
      <w:pPr>
        <w:pStyle w:val="BodyText"/>
        <w:rPr>
          <w:color w:val="000000" w:themeColor="text1"/>
          <w:sz w:val="20"/>
          <w:szCs w:val="22"/>
        </w:rPr>
      </w:pPr>
    </w:p>
    <w:p w14:paraId="0F597F5E" w14:textId="77777777" w:rsidR="00E63002" w:rsidRPr="00C711C6" w:rsidRDefault="00E63002" w:rsidP="00E63002">
      <w:pPr>
        <w:pStyle w:val="Heading2"/>
      </w:pPr>
      <w:bookmarkStart w:id="26" w:name="_Toc201044721"/>
      <w:r w:rsidRPr="00C711C6">
        <w:t>Class Enrichment</w:t>
      </w:r>
      <w:r>
        <w:t xml:space="preserve"> (</w:t>
      </w:r>
      <w:proofErr w:type="spellStart"/>
      <w:r>
        <w:t>i.e</w:t>
      </w:r>
      <w:proofErr w:type="spellEnd"/>
      <w:r>
        <w:t xml:space="preserve"> Participation and Engagement))</w:t>
      </w:r>
      <w:bookmarkEnd w:id="26"/>
    </w:p>
    <w:p w14:paraId="7777E5E1" w14:textId="77777777" w:rsidR="00E63002" w:rsidRPr="00C711C6" w:rsidRDefault="00E63002" w:rsidP="00E63002">
      <w:r>
        <w:rPr>
          <w:i/>
          <w:iCs/>
        </w:rPr>
        <w:t>I</w:t>
      </w:r>
      <w:r w:rsidRPr="00C711C6">
        <w:rPr>
          <w:i/>
          <w:iCs/>
        </w:rPr>
        <w:t xml:space="preserve"> cannot emphasize this enough</w:t>
      </w:r>
      <w:r w:rsidRPr="00C711C6">
        <w:t>: learning any new skill requires an active engagement on the part of the learner. Therefore, class participation is a critical component of the course. While some lecture will be necessary to establish necessary contexts and to propose reading strategies, most of the learning needs to come from lively discussion and a certain degree of daring and play. Get involved early and often. The class will surpass expectations if you do; it will be miserable if you don’t.</w:t>
      </w:r>
    </w:p>
    <w:p w14:paraId="4DBADEF0" w14:textId="77777777" w:rsidR="00E63002" w:rsidRPr="00C711C6" w:rsidRDefault="00E63002" w:rsidP="00E63002">
      <w:pPr>
        <w:pStyle w:val="Heading2"/>
      </w:pPr>
      <w:bookmarkStart w:id="27" w:name="_Toc201044722"/>
      <w:r w:rsidRPr="00C711C6">
        <w:t>Late Work</w:t>
      </w:r>
      <w:bookmarkEnd w:id="27"/>
    </w:p>
    <w:p w14:paraId="15077887" w14:textId="77777777" w:rsidR="00E63002" w:rsidRDefault="00E63002" w:rsidP="00E63002">
      <w:r>
        <w:t>I</w:t>
      </w:r>
      <w:r w:rsidRPr="00C711C6">
        <w:t xml:space="preserve"> don’t like to allow late work because it can pile up quickly, and it limits our ability as instructors to provide timely feedback. However, </w:t>
      </w:r>
      <w:r>
        <w:t>I</w:t>
      </w:r>
      <w:r w:rsidRPr="00C711C6">
        <w:t xml:space="preserve"> also don’t deduct any points for late work. Please contact us before the assignment is due if you would like an extension. </w:t>
      </w:r>
      <w:proofErr w:type="spellStart"/>
      <w:r>
        <w:t>I</w:t>
      </w:r>
      <w:r w:rsidRPr="00C711C6">
        <w:t>'re</w:t>
      </w:r>
      <w:proofErr w:type="spellEnd"/>
      <w:r w:rsidRPr="00C711C6">
        <w:t xml:space="preserve"> typically happy to give you one. </w:t>
      </w:r>
      <w:r w:rsidRPr="00F20BFD">
        <w:rPr>
          <w:b/>
          <w:bCs/>
        </w:rPr>
        <w:t xml:space="preserve">Understand, though, that a pattern of late or unsubmitted work will compromise the case you build for your semester grade. </w:t>
      </w:r>
      <w:r>
        <w:rPr>
          <w:b/>
          <w:bCs/>
        </w:rPr>
        <w:t xml:space="preserve"> </w:t>
      </w:r>
      <w:r>
        <w:t xml:space="preserve">Students who expect, for example, an A in the course should receive “Exceeds Expectations” on </w:t>
      </w:r>
      <w:proofErr w:type="gramStart"/>
      <w:r>
        <w:t>the majority of</w:t>
      </w:r>
      <w:proofErr w:type="gramEnd"/>
      <w:r>
        <w:t xml:space="preserve"> the assignments and have no late or missing assignments (unless arrangements are made for an extension). </w:t>
      </w:r>
    </w:p>
    <w:p w14:paraId="5AA796A1" w14:textId="77777777" w:rsidR="00E63002" w:rsidRPr="00F20BFD" w:rsidRDefault="00E63002" w:rsidP="00E63002"/>
    <w:p w14:paraId="6A4A722E" w14:textId="77777777" w:rsidR="00E63002" w:rsidRPr="00C711C6" w:rsidRDefault="00E63002" w:rsidP="00E63002">
      <w:pPr>
        <w:pStyle w:val="Heading2"/>
      </w:pPr>
      <w:bookmarkStart w:id="28" w:name="_Toc201044723"/>
      <w:r w:rsidRPr="00C711C6">
        <w:t>Safe Zone</w:t>
      </w:r>
      <w:bookmarkEnd w:id="28"/>
    </w:p>
    <w:p w14:paraId="450B4ACB" w14:textId="77777777" w:rsidR="00E63002" w:rsidRDefault="00E63002" w:rsidP="00E63002">
      <w:r w:rsidRPr="00C711C6">
        <w:t xml:space="preserve">Our goal is for each student to feel comfortable and able to connect with course content and classroom discussion. Please know that </w:t>
      </w:r>
      <w:r>
        <w:t>I</w:t>
      </w:r>
      <w:r w:rsidRPr="00C711C6">
        <w:t xml:space="preserve"> welcome, affirm, and celebrate persons in the LGBTQIA communities of Texas Christian University. (LGBTQIA stands for Lesbian, Gay, Bisexual, Transgender, Queer, Intersex, Asexual, Ally). </w:t>
      </w:r>
      <w:r>
        <w:t>I</w:t>
      </w:r>
      <w:r w:rsidRPr="00C711C6">
        <w:t xml:space="preserve"> will not allow homophobic comments in class and will strive to use inclusive language. </w:t>
      </w:r>
      <w:r>
        <w:t xml:space="preserve">Please visit </w:t>
      </w:r>
      <w:hyperlink r:id="rId15" w:history="1">
        <w:r w:rsidRPr="002E414B">
          <w:rPr>
            <w:rStyle w:val="Hyperlink"/>
            <w:rFonts w:eastAsiaTheme="majorEastAsia"/>
          </w:rPr>
          <w:t>http://www.allies.tcu.edu/training.asp</w:t>
        </w:r>
      </w:hyperlink>
      <w:r>
        <w:t xml:space="preserve"> for more information.</w:t>
      </w:r>
    </w:p>
    <w:p w14:paraId="5D411FCB" w14:textId="77777777" w:rsidR="00E63002" w:rsidRPr="00FC762C" w:rsidRDefault="00E63002" w:rsidP="00E63002">
      <w:pPr>
        <w:pStyle w:val="Heading2"/>
      </w:pPr>
      <w:bookmarkStart w:id="29" w:name="_Toc201044724"/>
      <w:r w:rsidRPr="00FC762C">
        <w:lastRenderedPageBreak/>
        <w:t>System Requirements</w:t>
      </w:r>
      <w:bookmarkEnd w:id="29"/>
    </w:p>
    <w:p w14:paraId="266D849E" w14:textId="77777777" w:rsidR="00E63002" w:rsidRDefault="00E63002" w:rsidP="00E63002">
      <w:pPr>
        <w:shd w:val="clear" w:color="auto" w:fill="FFFFFF"/>
        <w:spacing w:before="100" w:beforeAutospacing="1" w:after="100" w:afterAutospacing="1"/>
        <w:rPr>
          <w:color w:val="403C3D"/>
        </w:rPr>
      </w:pPr>
      <w:r w:rsidRPr="00FC762C">
        <w:rPr>
          <w:color w:val="403C3D"/>
        </w:rPr>
        <w:t xml:space="preserve">Throughout the semester, you will be doing a lot of coding in </w:t>
      </w:r>
      <w:r>
        <w:rPr>
          <w:color w:val="403C3D"/>
        </w:rPr>
        <w:t>HTML, CSS, and JavaScript</w:t>
      </w:r>
      <w:r w:rsidRPr="00FC762C">
        <w:rPr>
          <w:color w:val="403C3D"/>
        </w:rPr>
        <w:t xml:space="preserve">. It is your responsibility to ensure that you have the necessary hardware to do this. If you have any technical difficulties, contact your professor or IT at least a week before the assignment is due. </w:t>
      </w:r>
    </w:p>
    <w:p w14:paraId="52855B04" w14:textId="77777777" w:rsidR="00E63002" w:rsidRPr="00E64057" w:rsidRDefault="00E63002" w:rsidP="00E63002">
      <w:pPr>
        <w:ind w:left="360"/>
        <w:rPr>
          <w:bCs/>
        </w:rPr>
      </w:pPr>
      <w:r w:rsidRPr="00E64057">
        <w:rPr>
          <w:b/>
        </w:rPr>
        <w:t xml:space="preserve">Computer: </w:t>
      </w:r>
      <w:r w:rsidRPr="00E64057">
        <w:t>You must have access to a reliable computer and internet connection to take this course, a machine that meets the TCU Online minimum requirements</w:t>
      </w:r>
      <w:r w:rsidRPr="00E64057">
        <w:rPr>
          <w:bCs/>
        </w:rPr>
        <w:t xml:space="preserve">. </w:t>
      </w:r>
    </w:p>
    <w:p w14:paraId="61019C71" w14:textId="77777777" w:rsidR="00E63002" w:rsidRPr="00E64057" w:rsidRDefault="00E63002" w:rsidP="00E63002">
      <w:pPr>
        <w:ind w:left="360"/>
      </w:pPr>
      <w:r w:rsidRPr="00E64057">
        <w:rPr>
          <w:b/>
        </w:rPr>
        <w:t xml:space="preserve">TCU Online </w:t>
      </w:r>
      <w:r w:rsidRPr="00E64057">
        <w:t xml:space="preserve">is required for this class.  </w:t>
      </w:r>
    </w:p>
    <w:p w14:paraId="15DB7BC9" w14:textId="77777777" w:rsidR="00E63002" w:rsidRPr="00F01628" w:rsidRDefault="00E63002" w:rsidP="00E63002">
      <w:pPr>
        <w:shd w:val="clear" w:color="auto" w:fill="FFFFFF"/>
        <w:ind w:left="360"/>
        <w:rPr>
          <w:color w:val="403C3D"/>
        </w:rPr>
      </w:pPr>
      <w:r>
        <w:rPr>
          <w:b/>
          <w:bCs/>
          <w:color w:val="403C3D"/>
        </w:rPr>
        <w:t xml:space="preserve">Virtual Studio Code </w:t>
      </w:r>
      <w:r>
        <w:rPr>
          <w:color w:val="403C3D"/>
        </w:rPr>
        <w:t>is the free tool I’ll use to write and edit our code for class.</w:t>
      </w:r>
    </w:p>
    <w:p w14:paraId="2028949B" w14:textId="77777777" w:rsidR="00E63002" w:rsidRPr="00E64057" w:rsidRDefault="00E63002" w:rsidP="00E63002">
      <w:pPr>
        <w:ind w:left="360"/>
      </w:pPr>
      <w:r w:rsidRPr="00E64057">
        <w:rPr>
          <w:b/>
          <w:bCs/>
        </w:rPr>
        <w:t>Generative Artificial Intelligence (AI)</w:t>
      </w:r>
      <w:r w:rsidRPr="00E64057">
        <w:t xml:space="preserve"> technology (Google </w:t>
      </w:r>
      <w:r>
        <w:t>Gemini</w:t>
      </w:r>
      <w:r w:rsidRPr="00E64057">
        <w:t xml:space="preserve">, ChatGPT, etc.) is permitted—and encouraged—for your use in this class </w:t>
      </w:r>
      <w:proofErr w:type="gramStart"/>
      <w:r w:rsidRPr="00E64057">
        <w:t>provided that</w:t>
      </w:r>
      <w:proofErr w:type="gramEnd"/>
      <w:r w:rsidRPr="00E64057">
        <w:t xml:space="preserve"> you </w:t>
      </w:r>
      <w:r w:rsidRPr="00D40173">
        <w:rPr>
          <w:b/>
          <w:bCs/>
        </w:rPr>
        <w:t>document</w:t>
      </w:r>
      <w:r w:rsidRPr="00E64057">
        <w:t xml:space="preserve">, in detail, </w:t>
      </w:r>
      <w:proofErr w:type="gramStart"/>
      <w:r w:rsidRPr="00E64057">
        <w:t>any and all</w:t>
      </w:r>
      <w:proofErr w:type="gramEnd"/>
      <w:r w:rsidRPr="00E64057">
        <w:t xml:space="preserve"> uses of the technology through </w:t>
      </w:r>
      <w:r w:rsidRPr="00D40173">
        <w:rPr>
          <w:b/>
          <w:bCs/>
        </w:rPr>
        <w:t>descriptive notes</w:t>
      </w:r>
      <w:r>
        <w:rPr>
          <w:b/>
          <w:bCs/>
        </w:rPr>
        <w:t xml:space="preserve"> (# comments)</w:t>
      </w:r>
      <w:r>
        <w:t>.</w:t>
      </w:r>
    </w:p>
    <w:p w14:paraId="4FD9B5D4" w14:textId="77777777" w:rsidR="00E63002" w:rsidRPr="00633D6D" w:rsidRDefault="00E63002" w:rsidP="00E63002">
      <w:pPr>
        <w:ind w:left="720"/>
        <w:rPr>
          <w:sz w:val="20"/>
          <w:szCs w:val="20"/>
        </w:rPr>
      </w:pPr>
      <w:r w:rsidRPr="00633D6D">
        <w:rPr>
          <w:i/>
          <w:sz w:val="20"/>
          <w:szCs w:val="20"/>
        </w:rPr>
        <w:t xml:space="preserve">Note: </w:t>
      </w:r>
      <w:r w:rsidRPr="00633D6D">
        <w:rPr>
          <w:sz w:val="20"/>
          <w:szCs w:val="20"/>
        </w:rPr>
        <w:t>The inappropriate or unauthorized use of AI-generated content may be academic misconduct and/or a violation of discipline-specific professional ethics. Such misuse will be handled according to TCU’s Academic Conduct Policy or other relevant policies and may result in sanctions, including failing the course, program dismissal, suspension, or expulsion.</w:t>
      </w:r>
    </w:p>
    <w:p w14:paraId="6E2176B5" w14:textId="77777777" w:rsidR="00E63002" w:rsidRDefault="00E63002" w:rsidP="00E63002">
      <w:pPr>
        <w:ind w:left="360"/>
        <w:rPr>
          <w:color w:val="403C3D"/>
        </w:rPr>
      </w:pPr>
      <w:r w:rsidRPr="00E64057">
        <w:rPr>
          <w:b/>
        </w:rPr>
        <w:t xml:space="preserve">Email: </w:t>
      </w:r>
      <w:r w:rsidRPr="00E64057">
        <w:rPr>
          <w:i/>
        </w:rPr>
        <w:t>Only</w:t>
      </w:r>
      <w:r w:rsidRPr="00E64057">
        <w:t xml:space="preserve"> the official TCU student email address will be used for all course notification</w:t>
      </w:r>
      <w:r>
        <w:t>s</w:t>
      </w:r>
      <w:r w:rsidRPr="00E64057">
        <w:t xml:space="preserve">. It is your responsibility to check your TCU email on a regular basis: you should check it daily. </w:t>
      </w:r>
      <w:r>
        <w:br/>
      </w:r>
    </w:p>
    <w:p w14:paraId="14D3DECA" w14:textId="77777777" w:rsidR="00E63002" w:rsidRPr="00F3420E" w:rsidRDefault="00E63002" w:rsidP="00E63002">
      <w:pPr>
        <w:pStyle w:val="Heading2"/>
      </w:pPr>
      <w:bookmarkStart w:id="30" w:name="_Toc28850156"/>
      <w:bookmarkStart w:id="31" w:name="_Toc78440673"/>
      <w:bookmarkStart w:id="32" w:name="_Toc78891399"/>
      <w:bookmarkStart w:id="33" w:name="_Toc93766682"/>
      <w:bookmarkStart w:id="34" w:name="_Toc110954688"/>
      <w:bookmarkStart w:id="35" w:name="_Toc110955308"/>
      <w:bookmarkStart w:id="36" w:name="_Toc111198248"/>
      <w:bookmarkStart w:id="37" w:name="_Toc111274185"/>
      <w:bookmarkStart w:id="38" w:name="_Toc201044725"/>
      <w:r w:rsidRPr="00F3420E">
        <w:t>Class Norms</w:t>
      </w:r>
      <w:bookmarkEnd w:id="30"/>
      <w:bookmarkEnd w:id="31"/>
      <w:bookmarkEnd w:id="32"/>
      <w:bookmarkEnd w:id="33"/>
      <w:bookmarkEnd w:id="34"/>
      <w:bookmarkEnd w:id="35"/>
      <w:bookmarkEnd w:id="36"/>
      <w:bookmarkEnd w:id="37"/>
      <w:r>
        <w:t xml:space="preserve"> &amp; Recordings</w:t>
      </w:r>
      <w:bookmarkEnd w:id="38"/>
    </w:p>
    <w:p w14:paraId="1F16A78D" w14:textId="77777777" w:rsidR="00E63002" w:rsidRDefault="00E63002" w:rsidP="00E63002">
      <w:bookmarkStart w:id="39" w:name="_Hlk143339973"/>
      <w:r>
        <w:t>I</w:t>
      </w:r>
      <w:r w:rsidRPr="00F3420E">
        <w:t xml:space="preserve"> consider our classroom a safe space for people to learn, and</w:t>
      </w:r>
      <w:r>
        <w:t xml:space="preserve"> I</w:t>
      </w:r>
      <w:r w:rsidRPr="00F3420E">
        <w:t xml:space="preserve"> have an obligation to ensure it remains intact. All members of the class are expected to follow rules of common courtesy in person and in all email messages, discussions, or any exchanges on a digital platform related to this class. </w:t>
      </w:r>
    </w:p>
    <w:p w14:paraId="4326A098" w14:textId="77777777" w:rsidR="00E63002" w:rsidRDefault="00E63002" w:rsidP="00E63002">
      <w:r w:rsidRPr="00335B96">
        <w:t>Our class sessions are not available for public consumption or circulation beyond the intended uses for this class. Audio, video, or screen recording (including screen shots, snips, grabs, etc.) is prohibited and can result in a failing grade for this course and suspension of access to University Computing Resources. TCU students are prohibited from sharing any portion of course materials (including videos, PowerPoint slides, assignments, or notes) with others, including on social media, without written permission by the course instructor</w:t>
      </w:r>
      <w:r>
        <w:t>s</w:t>
      </w:r>
      <w:r w:rsidRPr="00335B96">
        <w:t xml:space="preserve">. Be sure to read </w:t>
      </w:r>
      <w:hyperlink r:id="rId16" w:history="1">
        <w:r w:rsidRPr="00335B96">
          <w:rPr>
            <w:rStyle w:val="Hyperlink"/>
            <w:rFonts w:eastAsiaTheme="majorEastAsia"/>
          </w:rPr>
          <w:t>the full TCU policy</w:t>
        </w:r>
      </w:hyperlink>
      <w:r w:rsidRPr="00335B96">
        <w:t xml:space="preserve">. </w:t>
      </w:r>
    </w:p>
    <w:p w14:paraId="3BEBAEED" w14:textId="77777777" w:rsidR="00E63002" w:rsidRPr="00FC762C" w:rsidRDefault="00E63002" w:rsidP="00E63002">
      <w:pPr>
        <w:rPr>
          <w:color w:val="403C3D"/>
        </w:rPr>
      </w:pPr>
      <w:r>
        <w:t>Of course, i</w:t>
      </w:r>
      <w:r w:rsidRPr="00335B96">
        <w:t xml:space="preserve">f you have accommodations that allow you to make audio recordings, however, please review </w:t>
      </w:r>
      <w:hyperlink r:id="rId17" w:anchor="access" w:history="1">
        <w:r w:rsidRPr="00335B96">
          <w:rPr>
            <w:rStyle w:val="Hyperlink"/>
            <w:rFonts w:eastAsiaTheme="majorEastAsia"/>
          </w:rPr>
          <w:t>Student Access and Accommodation</w:t>
        </w:r>
      </w:hyperlink>
      <w:r w:rsidRPr="00335B96">
        <w:t xml:space="preserve"> and contact me immediately. </w:t>
      </w:r>
      <w:r w:rsidRPr="00F3420E">
        <w:t xml:space="preserve">You can, of course, take good notes. If you cannot attend a class for any reason, you’re welcome to contact another classmate to find out what you missed, </w:t>
      </w:r>
      <w:r>
        <w:t>and y</w:t>
      </w:r>
      <w:r w:rsidRPr="00F3420E">
        <w:t>ou can always set up a one-on-one conference with me if you have questions about the material.</w:t>
      </w:r>
      <w:bookmarkEnd w:id="39"/>
      <w:r>
        <w:br/>
      </w:r>
    </w:p>
    <w:p w14:paraId="5BA28D6B" w14:textId="77777777" w:rsidR="00E63002" w:rsidRPr="00FC762C" w:rsidRDefault="00E63002" w:rsidP="00E63002">
      <w:pPr>
        <w:pStyle w:val="Heading2"/>
      </w:pPr>
      <w:bookmarkStart w:id="40" w:name="_Toc201044726"/>
      <w:r w:rsidRPr="00FC762C">
        <w:t>Center for Digital Expression (Scharbauer 2003)</w:t>
      </w:r>
      <w:bookmarkEnd w:id="40"/>
    </w:p>
    <w:p w14:paraId="053CC23F" w14:textId="06181B1D" w:rsidR="00B42518" w:rsidRDefault="00E63002" w:rsidP="00E63002">
      <w:r w:rsidRPr="00FC762C">
        <w:rPr>
          <w:color w:val="403C3D"/>
        </w:rPr>
        <w:t xml:space="preserve">The </w:t>
      </w:r>
      <w:proofErr w:type="spellStart"/>
      <w:r w:rsidRPr="00FC762C">
        <w:rPr>
          <w:color w:val="403C3D"/>
        </w:rPr>
        <w:t>CDEx</w:t>
      </w:r>
      <w:proofErr w:type="spellEnd"/>
      <w:r w:rsidRPr="00FC762C">
        <w:rPr>
          <w:color w:val="403C3D"/>
        </w:rPr>
        <w:t xml:space="preserve"> is available to students working on new media and digital humanities assignments. The staff is available to help you with your projects. </w:t>
      </w:r>
      <w:r>
        <w:rPr>
          <w:color w:val="403C3D"/>
        </w:rPr>
        <w:t>I</w:t>
      </w:r>
      <w:r w:rsidRPr="00FC762C">
        <w:rPr>
          <w:color w:val="403C3D"/>
        </w:rPr>
        <w:t xml:space="preserve"> will refer to the resource sections in the </w:t>
      </w:r>
      <w:proofErr w:type="spellStart"/>
      <w:r w:rsidRPr="00FC762C">
        <w:rPr>
          <w:color w:val="403C3D"/>
        </w:rPr>
        <w:t>CDEx</w:t>
      </w:r>
      <w:proofErr w:type="spellEnd"/>
      <w:r w:rsidRPr="00FC762C">
        <w:rPr>
          <w:color w:val="403C3D"/>
        </w:rPr>
        <w:t xml:space="preserve"> </w:t>
      </w:r>
      <w:r w:rsidRPr="00FC762C">
        <w:rPr>
          <w:color w:val="403C3D"/>
        </w:rPr>
        <w:lastRenderedPageBreak/>
        <w:t>website (</w:t>
      </w:r>
      <w:hyperlink r:id="rId18" w:history="1">
        <w:r w:rsidRPr="00FC762C">
          <w:rPr>
            <w:b/>
            <w:bCs/>
            <w:color w:val="1B63A8"/>
            <w:u w:val="single"/>
          </w:rPr>
          <w:t>cdex.tcu.edu</w:t>
        </w:r>
      </w:hyperlink>
      <w:r w:rsidRPr="00FC762C">
        <w:rPr>
          <w:color w:val="403C3D"/>
        </w:rPr>
        <w:t>) throughout the course, but you can also view the </w:t>
      </w:r>
      <w:hyperlink r:id="rId19" w:tgtFrame="weekly schedule" w:history="1">
        <w:r w:rsidRPr="00FC762C">
          <w:rPr>
            <w:b/>
            <w:bCs/>
            <w:color w:val="1B63A8"/>
            <w:u w:val="single"/>
          </w:rPr>
          <w:t>weekly schedule</w:t>
        </w:r>
      </w:hyperlink>
      <w:r w:rsidRPr="00FC762C">
        <w:rPr>
          <w:color w:val="403C3D"/>
        </w:rPr>
        <w:t> for consultations.  </w:t>
      </w:r>
    </w:p>
    <w:sectPr w:rsidR="00B42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92D3E" w14:textId="77777777" w:rsidR="00E63002" w:rsidRDefault="00E63002" w:rsidP="002E04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6835279"/>
      <w:docPartObj>
        <w:docPartGallery w:val="Page Numbers (Bottom of Page)"/>
        <w:docPartUnique/>
      </w:docPartObj>
    </w:sdtPr>
    <w:sdtEndPr>
      <w:rPr>
        <w:noProof/>
      </w:rPr>
    </w:sdtEndPr>
    <w:sdtContent>
      <w:p w14:paraId="72FA3606" w14:textId="77777777" w:rsidR="00E63002" w:rsidRPr="00375591" w:rsidRDefault="00E63002" w:rsidP="00614E83">
        <w:pPr>
          <w:pStyle w:val="Footer"/>
          <w:jc w:val="center"/>
        </w:pPr>
        <w:r w:rsidRPr="00375591">
          <w:fldChar w:fldCharType="begin"/>
        </w:r>
        <w:r w:rsidRPr="00375591">
          <w:instrText xml:space="preserve"> PAGE   \* MERGEFORMAT </w:instrText>
        </w:r>
        <w:r w:rsidRPr="00375591">
          <w:fldChar w:fldCharType="separate"/>
        </w:r>
        <w:r>
          <w:rPr>
            <w:noProof/>
          </w:rPr>
          <w:t>22</w:t>
        </w:r>
        <w:r w:rsidRPr="00375591">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CFD95" w14:textId="77777777" w:rsidR="00E63002" w:rsidRPr="00994C61" w:rsidRDefault="00E63002" w:rsidP="002E046E">
    <w:pPr>
      <w:pStyle w:val="Footer"/>
    </w:pPr>
    <w:r>
      <w:tab/>
    </w:r>
    <w:r>
      <w:tab/>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4E7D2" w14:textId="77777777" w:rsidR="00E63002" w:rsidRDefault="00E63002" w:rsidP="002E04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B7489" w14:textId="77777777" w:rsidR="00E63002" w:rsidRPr="002127F9" w:rsidRDefault="00E63002" w:rsidP="002E04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4D293" w14:textId="77777777" w:rsidR="00E63002" w:rsidRPr="002127F9" w:rsidRDefault="00E63002" w:rsidP="002E04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AE67E4"/>
    <w:multiLevelType w:val="hybridMultilevel"/>
    <w:tmpl w:val="DD6634A0"/>
    <w:lvl w:ilvl="0" w:tplc="74625CBE">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465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02"/>
    <w:rsid w:val="002468BB"/>
    <w:rsid w:val="004051AC"/>
    <w:rsid w:val="005314E2"/>
    <w:rsid w:val="0078408B"/>
    <w:rsid w:val="007E7868"/>
    <w:rsid w:val="00B42518"/>
    <w:rsid w:val="00C07584"/>
    <w:rsid w:val="00E63002"/>
    <w:rsid w:val="00EA6191"/>
    <w:rsid w:val="00FE5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27213"/>
  <w15:chartTrackingRefBased/>
  <w15:docId w15:val="{A46D785C-7E21-AA4B-B35C-29F552FB9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002"/>
    <w:pPr>
      <w:spacing w:before="120" w:after="120" w:line="240" w:lineRule="auto"/>
    </w:pPr>
    <w:rPr>
      <w:rFonts w:ascii="Aptos" w:eastAsia="Times New Roman" w:hAnsi="Aptos" w:cs="Arial"/>
      <w:kern w:val="0"/>
      <w:sz w:val="22"/>
      <w:szCs w:val="22"/>
      <w14:ligatures w14:val="none"/>
    </w:rPr>
  </w:style>
  <w:style w:type="paragraph" w:styleId="Heading1">
    <w:name w:val="heading 1"/>
    <w:basedOn w:val="Normal"/>
    <w:next w:val="Normal"/>
    <w:link w:val="Heading1Char"/>
    <w:uiPriority w:val="9"/>
    <w:qFormat/>
    <w:rsid w:val="00E630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30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30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0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0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0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0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0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0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0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30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30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0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0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0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0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0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002"/>
    <w:rPr>
      <w:rFonts w:eastAsiaTheme="majorEastAsia" w:cstheme="majorBidi"/>
      <w:color w:val="272727" w:themeColor="text1" w:themeTint="D8"/>
    </w:rPr>
  </w:style>
  <w:style w:type="paragraph" w:styleId="Title">
    <w:name w:val="Title"/>
    <w:basedOn w:val="Normal"/>
    <w:next w:val="Normal"/>
    <w:link w:val="TitleChar"/>
    <w:uiPriority w:val="10"/>
    <w:qFormat/>
    <w:rsid w:val="00E630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0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0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0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002"/>
    <w:pPr>
      <w:spacing w:before="160"/>
      <w:jc w:val="center"/>
    </w:pPr>
    <w:rPr>
      <w:i/>
      <w:iCs/>
      <w:color w:val="404040" w:themeColor="text1" w:themeTint="BF"/>
    </w:rPr>
  </w:style>
  <w:style w:type="character" w:customStyle="1" w:styleId="QuoteChar">
    <w:name w:val="Quote Char"/>
    <w:basedOn w:val="DefaultParagraphFont"/>
    <w:link w:val="Quote"/>
    <w:uiPriority w:val="29"/>
    <w:rsid w:val="00E63002"/>
    <w:rPr>
      <w:i/>
      <w:iCs/>
      <w:color w:val="404040" w:themeColor="text1" w:themeTint="BF"/>
    </w:rPr>
  </w:style>
  <w:style w:type="paragraph" w:styleId="ListParagraph">
    <w:name w:val="List Paragraph"/>
    <w:basedOn w:val="Normal"/>
    <w:uiPriority w:val="34"/>
    <w:qFormat/>
    <w:rsid w:val="00E63002"/>
    <w:pPr>
      <w:ind w:left="720"/>
      <w:contextualSpacing/>
    </w:pPr>
  </w:style>
  <w:style w:type="character" w:styleId="IntenseEmphasis">
    <w:name w:val="Intense Emphasis"/>
    <w:basedOn w:val="DefaultParagraphFont"/>
    <w:uiPriority w:val="21"/>
    <w:qFormat/>
    <w:rsid w:val="00E63002"/>
    <w:rPr>
      <w:i/>
      <w:iCs/>
      <w:color w:val="0F4761" w:themeColor="accent1" w:themeShade="BF"/>
    </w:rPr>
  </w:style>
  <w:style w:type="paragraph" w:styleId="IntenseQuote">
    <w:name w:val="Intense Quote"/>
    <w:basedOn w:val="Normal"/>
    <w:next w:val="Normal"/>
    <w:link w:val="IntenseQuoteChar"/>
    <w:uiPriority w:val="30"/>
    <w:qFormat/>
    <w:rsid w:val="00E630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002"/>
    <w:rPr>
      <w:i/>
      <w:iCs/>
      <w:color w:val="0F4761" w:themeColor="accent1" w:themeShade="BF"/>
    </w:rPr>
  </w:style>
  <w:style w:type="character" w:styleId="IntenseReference">
    <w:name w:val="Intense Reference"/>
    <w:basedOn w:val="DefaultParagraphFont"/>
    <w:uiPriority w:val="32"/>
    <w:qFormat/>
    <w:rsid w:val="00E63002"/>
    <w:rPr>
      <w:b/>
      <w:bCs/>
      <w:smallCaps/>
      <w:color w:val="0F4761" w:themeColor="accent1" w:themeShade="BF"/>
      <w:spacing w:val="5"/>
    </w:rPr>
  </w:style>
  <w:style w:type="character" w:styleId="Hyperlink">
    <w:name w:val="Hyperlink"/>
    <w:uiPriority w:val="99"/>
    <w:unhideWhenUsed/>
    <w:rsid w:val="00E63002"/>
    <w:rPr>
      <w:color w:val="0000FF"/>
      <w:u w:val="single"/>
    </w:rPr>
  </w:style>
  <w:style w:type="paragraph" w:styleId="BodyText">
    <w:name w:val="Body Text"/>
    <w:basedOn w:val="Normal"/>
    <w:link w:val="BodyTextChar"/>
    <w:rsid w:val="00E63002"/>
    <w:pPr>
      <w:spacing w:after="0"/>
    </w:pPr>
    <w:rPr>
      <w:szCs w:val="24"/>
    </w:rPr>
  </w:style>
  <w:style w:type="character" w:customStyle="1" w:styleId="BodyTextChar">
    <w:name w:val="Body Text Char"/>
    <w:basedOn w:val="DefaultParagraphFont"/>
    <w:link w:val="BodyText"/>
    <w:rsid w:val="00E63002"/>
    <w:rPr>
      <w:rFonts w:ascii="Aptos" w:eastAsia="Times New Roman" w:hAnsi="Aptos" w:cs="Arial"/>
      <w:kern w:val="0"/>
      <w:sz w:val="22"/>
      <w14:ligatures w14:val="none"/>
    </w:rPr>
  </w:style>
  <w:style w:type="table" w:styleId="TableGrid">
    <w:name w:val="Table Grid"/>
    <w:basedOn w:val="TableNormal"/>
    <w:uiPriority w:val="39"/>
    <w:rsid w:val="00E63002"/>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63002"/>
    <w:pPr>
      <w:tabs>
        <w:tab w:val="center" w:pos="4680"/>
        <w:tab w:val="right" w:pos="9360"/>
      </w:tabs>
      <w:spacing w:after="0"/>
    </w:pPr>
  </w:style>
  <w:style w:type="character" w:customStyle="1" w:styleId="FooterChar">
    <w:name w:val="Footer Char"/>
    <w:basedOn w:val="DefaultParagraphFont"/>
    <w:link w:val="Footer"/>
    <w:uiPriority w:val="99"/>
    <w:rsid w:val="00E63002"/>
    <w:rPr>
      <w:rFonts w:ascii="Aptos" w:eastAsia="Times New Roman" w:hAnsi="Aptos" w:cs="Arial"/>
      <w:kern w:val="0"/>
      <w:sz w:val="22"/>
      <w:szCs w:val="22"/>
      <w14:ligatures w14:val="none"/>
    </w:rPr>
  </w:style>
  <w:style w:type="paragraph" w:styleId="Header">
    <w:name w:val="header"/>
    <w:basedOn w:val="Normal"/>
    <w:link w:val="HeaderChar"/>
    <w:uiPriority w:val="99"/>
    <w:unhideWhenUsed/>
    <w:rsid w:val="00E63002"/>
    <w:pPr>
      <w:tabs>
        <w:tab w:val="center" w:pos="4680"/>
        <w:tab w:val="right" w:pos="9360"/>
      </w:tabs>
      <w:spacing w:after="0"/>
    </w:pPr>
  </w:style>
  <w:style w:type="character" w:customStyle="1" w:styleId="HeaderChar">
    <w:name w:val="Header Char"/>
    <w:basedOn w:val="DefaultParagraphFont"/>
    <w:link w:val="Header"/>
    <w:uiPriority w:val="99"/>
    <w:rsid w:val="00E63002"/>
    <w:rPr>
      <w:rFonts w:ascii="Aptos" w:eastAsia="Times New Roman" w:hAnsi="Aptos" w:cs="Arial"/>
      <w:kern w:val="0"/>
      <w:sz w:val="22"/>
      <w:szCs w:val="22"/>
      <w14:ligatures w14:val="none"/>
    </w:rPr>
  </w:style>
  <w:style w:type="table" w:styleId="ListTable3-Accent5">
    <w:name w:val="List Table 3 Accent 5"/>
    <w:basedOn w:val="TableNormal"/>
    <w:uiPriority w:val="48"/>
    <w:rsid w:val="00E63002"/>
    <w:pPr>
      <w:spacing w:after="0" w:line="240" w:lineRule="auto"/>
    </w:pPr>
    <w:rPr>
      <w:kern w:val="0"/>
      <w:sz w:val="22"/>
      <w:szCs w:val="22"/>
      <w14:ligatures w14:val="none"/>
    </w:r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paragraph" w:customStyle="1" w:styleId="TableParagraph">
    <w:name w:val="Table Paragraph"/>
    <w:basedOn w:val="Normal"/>
    <w:uiPriority w:val="1"/>
    <w:qFormat/>
    <w:rsid w:val="00E63002"/>
    <w:pPr>
      <w:widowControl w:val="0"/>
      <w:autoSpaceDE w:val="0"/>
      <w:autoSpaceDN w:val="0"/>
      <w:spacing w:before="121" w:after="0"/>
      <w:ind w:left="107"/>
    </w:pPr>
    <w:rPr>
      <w:rFonts w:ascii="Arial" w:eastAsia="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undergraduate.catalog.tcu.edu/policies/academic/list" TargetMode="External"/><Relationship Id="rId18" Type="http://schemas.openxmlformats.org/officeDocument/2006/relationships/hyperlink" Target="https://cdex.tcu.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www.jessestommel.com/how-to-ungrade/" TargetMode="External"/><Relationship Id="rId17" Type="http://schemas.openxmlformats.org/officeDocument/2006/relationships/hyperlink" Target="https://cte.tcu.edu/tcu-syllabus-policies/" TargetMode="External"/><Relationship Id="rId2" Type="http://schemas.openxmlformats.org/officeDocument/2006/relationships/styles" Target="styles.xml"/><Relationship Id="rId16" Type="http://schemas.openxmlformats.org/officeDocument/2006/relationships/hyperlink" Target="https://security.tcu.edu/polpro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yperlink" Target="https://www.jessestommel.com/why-i-dont-grade/" TargetMode="External"/><Relationship Id="rId5" Type="http://schemas.openxmlformats.org/officeDocument/2006/relationships/header" Target="header1.xml"/><Relationship Id="rId15" Type="http://schemas.openxmlformats.org/officeDocument/2006/relationships/hyperlink" Target="http://www.allies.tcu.edu/training.asp" TargetMode="External"/><Relationship Id="rId10" Type="http://schemas.openxmlformats.org/officeDocument/2006/relationships/footer" Target="footer3.xml"/><Relationship Id="rId19" Type="http://schemas.openxmlformats.org/officeDocument/2006/relationships/hyperlink" Target="https://cdex.tcu.edu/services/consultations/"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cm.maxient.com/reportingform.php?TexasChristianUniv&amp;layout_id=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1812</Words>
  <Characters>10335</Characters>
  <Application>Microsoft Office Word</Application>
  <DocSecurity>0</DocSecurity>
  <Lines>86</Lines>
  <Paragraphs>24</Paragraphs>
  <ScaleCrop>false</ScaleCrop>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 Curt</dc:creator>
  <cp:keywords/>
  <dc:description/>
  <cp:lastModifiedBy>Rode, Curt</cp:lastModifiedBy>
  <cp:revision>2</cp:revision>
  <dcterms:created xsi:type="dcterms:W3CDTF">2025-06-17T14:52:00Z</dcterms:created>
  <dcterms:modified xsi:type="dcterms:W3CDTF">2025-06-17T14:52:00Z</dcterms:modified>
</cp:coreProperties>
</file>