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60" w:before="0"/>
        <w:jc w:val="center"/>
      </w:pPr>
      <w:r>
        <w:rPr>
          <w:rFonts w:ascii="Segoe UI Emoji" w:cs="Segoe UI Emoji" w:eastAsia="Segoe UI Emoji" w:hAnsi="Segoe UI Emoji"/>
          <w:color w:val="2E9CCA"/>
          <w:sz w:val="80"/>
          <w:szCs w:val="80"/>
        </w:rPr>
        <w:t xml:space="preserve">✈</w:t>
      </w:r>
    </w:p>
    <w:p>
      <w:pPr>
        <w:spacing w:after="60" w:before="0"/>
        <w:jc w:val="center"/>
      </w:pPr>
      <w:r>
        <w:rPr>
          <w:rFonts w:ascii="Arial" w:cs="Arial" w:eastAsia="Arial" w:hAnsi="Arial"/>
          <w:b/>
          <w:bCs/>
          <w:color w:val="1A5C8A"/>
          <w:sz w:val="100"/>
          <w:szCs w:val="100"/>
        </w:rPr>
        <w:t xml:space="preserve">VOYGO</w:t>
      </w:r>
    </w:p>
    <w:p>
      <w:pPr>
        <w:spacing w:after="80" w:before="0"/>
        <w:jc w:val="center"/>
      </w:pPr>
      <w:r>
        <w:rPr>
          <w:rFonts w:ascii="Arial" w:cs="Arial" w:eastAsia="Arial" w:hAnsi="Arial"/>
          <w:color w:val="2E9CCA"/>
          <w:sz w:val="44"/>
          <w:szCs w:val="44"/>
        </w:rPr>
        <w:t xml:space="preserve">Présentation de la Maquette UI/UX</w:t>
      </w:r>
    </w:p>
    <w:p>
      <w:pPr>
        <w:spacing w:after="500" w:before="0"/>
        <w:jc w:val="center"/>
      </w:pPr>
      <w:r>
        <w:rPr>
          <w:rFonts w:ascii="Arial" w:cs="Arial" w:eastAsia="Arial" w:hAnsi="Arial"/>
          <w:i/>
          <w:iCs/>
          <w:color w:val="4A5568"/>
          <w:sz w:val="24"/>
          <w:szCs w:val="24"/>
        </w:rPr>
        <w:t xml:space="preserve">Document de référence — Design &amp; Parcours utilisateur</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Projet</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Voygo — Application web de planification de voyage</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Document</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Présentation maquette (wireframes &amp; écrans)</w:t>
            </w:r>
          </w:p>
        </w:tc>
      </w:tr>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Version</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2026 — v1.0</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Écrans couverts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3 écrans principaux : Inscription · Tableau de bord · Agenda</w:t>
            </w:r>
          </w:p>
        </w:tc>
      </w:tr>
    </w:tbl>
    <w:p>
      <w:pPr>
        <w:spacing w:after="0" w:before="400"/>
      </w:pPr>
      <w:r>
        <w:t xml:space="preserve"/>
      </w:r>
    </w:p>
    <w:p>
      <w:r>
        <w:br w:type="page"/>
      </w:r>
    </w:p>
    <w:p>
      <w:pPr>
        <w:pStyle w:val="Heading1"/>
        <w:pBdr>
          <w:bottom w:val="single" w:color="2E9CCA" w:sz="6" w:space="4"/>
        </w:pBdr>
        <w:spacing w:after="220" w:before="560"/>
      </w:pPr>
      <w:r>
        <w:rPr>
          <w:rFonts w:ascii="Arial" w:cs="Arial" w:eastAsia="Arial" w:hAnsi="Arial"/>
          <w:b/>
          <w:bCs/>
          <w:color w:val="1A5C8A"/>
          <w:sz w:val="38"/>
          <w:szCs w:val="38"/>
        </w:rPr>
        <w:t xml:space="preserve">Introduction</w:t>
      </w:r>
    </w:p>
    <w:p>
      <w:pPr>
        <w:spacing w:after="80" w:before="80"/>
      </w:pPr>
      <w:r>
        <w:rPr>
          <w:rFonts w:ascii="Arial" w:cs="Arial" w:eastAsia="Arial" w:hAnsi="Arial"/>
          <w:i w:val="false"/>
          <w:iCs w:val="false"/>
          <w:color w:val="1A1A2E"/>
          <w:sz w:val="22"/>
          <w:szCs w:val="22"/>
        </w:rPr>
        <w:t xml:space="preserve">Ce document présente les maquettes graphiques de l'application Voygo. Il constitue la référence visuelle et fonctionnelle pour le développement de l'interface utilisateur.</w:t>
      </w:r>
    </w:p>
    <w:p>
      <w:pPr>
        <w:spacing w:after="0" w:before="80"/>
      </w:pPr>
      <w:r>
        <w:t xml:space="preserve"/>
      </w:r>
    </w:p>
    <w:p>
      <w:pPr>
        <w:spacing w:after="80" w:before="80"/>
      </w:pPr>
      <w:r>
        <w:rPr>
          <w:rFonts w:ascii="Arial" w:cs="Arial" w:eastAsia="Arial" w:hAnsi="Arial"/>
          <w:i w:val="false"/>
          <w:iCs w:val="false"/>
          <w:color w:val="1A1A2E"/>
          <w:sz w:val="22"/>
          <w:szCs w:val="22"/>
        </w:rPr>
        <w:t xml:space="preserve">Chaque écran est accompagné d'une description détaillée de son rôle, de ses composants clés, de la logique de navigation et des choix UX retenus.</w:t>
      </w:r>
    </w:p>
    <w:p>
      <w:pPr>
        <w:spacing w:after="0" w:before="120"/>
      </w:pPr>
      <w:r>
        <w:t xml:space="preserve"/>
      </w:r>
    </w:p>
    <w:p>
      <w:pPr>
        <w:pStyle w:val="Heading2"/>
        <w:spacing w:after="140" w:before="320"/>
      </w:pPr>
      <w:r>
        <w:rPr>
          <w:rFonts w:ascii="Arial" w:cs="Arial" w:eastAsia="Arial" w:hAnsi="Arial"/>
          <w:b/>
          <w:bCs/>
          <w:color w:val="1A5C8A"/>
          <w:sz w:val="28"/>
          <w:szCs w:val="28"/>
        </w:rPr>
        <w:t xml:space="preserve">Objectifs de la maquette</w:t>
      </w:r>
    </w:p>
    <w:p>
      <w:pPr>
        <w:pStyle w:val="ListParagraph"/>
        <w:numPr>
          <w:ilvl w:val="0"/>
          <w:numId w:val="2"/>
        </w:numPr>
        <w:spacing w:after="60" w:before="60"/>
      </w:pPr>
      <w:r>
        <w:rPr>
          <w:rFonts w:ascii="Arial" w:cs="Arial" w:eastAsia="Arial" w:hAnsi="Arial"/>
          <w:color w:val="1A1A2E"/>
          <w:sz w:val="22"/>
          <w:szCs w:val="22"/>
        </w:rPr>
        <w:t xml:space="preserve">Valider l'expérience utilisateur avant le développement</w:t>
      </w:r>
    </w:p>
    <w:p>
      <w:pPr>
        <w:pStyle w:val="ListParagraph"/>
        <w:numPr>
          <w:ilvl w:val="0"/>
          <w:numId w:val="2"/>
        </w:numPr>
        <w:spacing w:after="60" w:before="60"/>
      </w:pPr>
      <w:r>
        <w:rPr>
          <w:rFonts w:ascii="Arial" w:cs="Arial" w:eastAsia="Arial" w:hAnsi="Arial"/>
          <w:color w:val="1A1A2E"/>
          <w:sz w:val="22"/>
          <w:szCs w:val="22"/>
        </w:rPr>
        <w:t xml:space="preserve">Aligner les équipes design, front-end et product sur une vision commune</w:t>
      </w:r>
    </w:p>
    <w:p>
      <w:pPr>
        <w:pStyle w:val="ListParagraph"/>
        <w:numPr>
          <w:ilvl w:val="0"/>
          <w:numId w:val="2"/>
        </w:numPr>
        <w:spacing w:after="60" w:before="60"/>
      </w:pPr>
      <w:r>
        <w:rPr>
          <w:rFonts w:ascii="Arial" w:cs="Arial" w:eastAsia="Arial" w:hAnsi="Arial"/>
          <w:color w:val="1A1A2E"/>
          <w:sz w:val="22"/>
          <w:szCs w:val="22"/>
        </w:rPr>
        <w:t xml:space="preserve">Identifier les interactions clés et les flux de navigation</w:t>
      </w:r>
    </w:p>
    <w:p>
      <w:pPr>
        <w:pStyle w:val="ListParagraph"/>
        <w:numPr>
          <w:ilvl w:val="0"/>
          <w:numId w:val="2"/>
        </w:numPr>
        <w:spacing w:after="60" w:before="60"/>
      </w:pPr>
      <w:r>
        <w:rPr>
          <w:rFonts w:ascii="Arial" w:cs="Arial" w:eastAsia="Arial" w:hAnsi="Arial"/>
          <w:color w:val="1A1A2E"/>
          <w:sz w:val="22"/>
          <w:szCs w:val="22"/>
        </w:rPr>
        <w:t xml:space="preserve">Servir de référence contractuelle pour l'intégration</w:t>
      </w:r>
    </w:p>
    <w:p>
      <w:pPr>
        <w:spacing w:after="0" w:before="120"/>
      </w:pPr>
      <w:r>
        <w:t xml:space="preserve"/>
      </w:r>
    </w:p>
    <w:p>
      <w:pPr>
        <w:pStyle w:val="Heading2"/>
        <w:spacing w:after="140" w:before="320"/>
      </w:pPr>
      <w:r>
        <w:rPr>
          <w:rFonts w:ascii="Arial" w:cs="Arial" w:eastAsia="Arial" w:hAnsi="Arial"/>
          <w:b/>
          <w:bCs/>
          <w:color w:val="1A5C8A"/>
          <w:sz w:val="28"/>
          <w:szCs w:val="28"/>
        </w:rPr>
        <w:t xml:space="preserve">Identité visuelle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Palette principale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Bleu océan (#1A5C8A) · Bleu ciel (#2E9CCA) · Blanc (#FFFFFF)</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Typographie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Sans-serif moderne · hiérarchie claire titre / corps / légende</w:t>
            </w:r>
          </w:p>
        </w:tc>
      </w:tr>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Photo de fond</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Paysage montagneux en haute résolution — immersion et évasion</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Composants UI</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Cartes arrondies avec fond semi-transparent · boutons pleins teal</w:t>
            </w:r>
          </w:p>
        </w:tc>
      </w:tr>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Ton général</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Épuré, aéré, accessible — desktop et mobile</w:t>
            </w:r>
          </w:p>
        </w:tc>
      </w:tr>
    </w:tbl>
    <w:p>
      <w:pPr>
        <w:spacing w:after="0" w:before="160"/>
      </w:pPr>
      <w:r>
        <w:t xml:space="preserve"/>
      </w:r>
    </w:p>
    <w:p>
      <w:pPr>
        <w:pBdr>
          <w:bottom w:val="single" w:color="D0E8F5" w:sz="2" w:space="1"/>
        </w:pBdr>
        <w:spacing w:after="200" w:before="20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none"/>
              <w:left w:val="none"/>
              <w:bottom w:val="none"/>
              <w:right w:val="none"/>
            </w:tcBorders>
            <w:shd w:fill="1A5C8A" w:val="clear"/>
            <w:tcMar>
              <w:top w:type="dxa" w:w="120"/>
              <w:left w:type="dxa" w:w="160"/>
              <w:bottom w:type="dxa" w:w="120"/>
              <w:right w:type="dxa" w:w="160"/>
            </w:tcMar>
            <w:vAlign w:val="center"/>
          </w:tcPr>
          <w:p>
            <w:pPr>
              <w:jc w:val="center"/>
            </w:pPr>
            <w:r>
              <w:rPr>
                <w:rFonts w:ascii="Arial" w:cs="Arial" w:eastAsia="Arial" w:hAnsi="Arial"/>
                <w:color w:val="D0E8F5"/>
                <w:sz w:val="18"/>
                <w:szCs w:val="18"/>
              </w:rPr>
              <w:t xml:space="preserve">Écran</w:t>
            </w:r>
          </w:p>
          <w:p>
            <w:pPr>
              <w:jc w:val="center"/>
            </w:pPr>
            <w:r>
              <w:rPr>
                <w:rFonts w:ascii="Arial" w:cs="Arial" w:eastAsia="Arial" w:hAnsi="Arial"/>
                <w:b/>
                <w:bCs/>
                <w:color w:val="FFFFFF"/>
                <w:sz w:val="52"/>
                <w:szCs w:val="52"/>
              </w:rPr>
              <w:t xml:space="preserve">01</w:t>
            </w:r>
          </w:p>
        </w:tc>
        <w:tc>
          <w:tcPr>
            <w:tcW w:type="dxa" w:w="8026"/>
            <w:tcBorders>
              <w:top w:val="none"/>
              <w:left w:val="none"/>
              <w:bottom w:val="none"/>
              <w:right w:val="none"/>
            </w:tcBorders>
            <w:shd w:fill="EBF4FB" w:val="clear"/>
            <w:tcMar>
              <w:top w:type="dxa" w:w="120"/>
              <w:left w:type="dxa" w:w="240"/>
              <w:bottom w:type="dxa" w:w="120"/>
              <w:right w:type="dxa" w:w="160"/>
            </w:tcMar>
            <w:vAlign w:val="center"/>
          </w:tcPr>
          <w:p>
            <w:r>
              <w:rPr>
                <w:rFonts w:ascii="Arial" w:cs="Arial" w:eastAsia="Arial" w:hAnsi="Arial"/>
                <w:b/>
                <w:bCs/>
                <w:color w:val="1A5C8A"/>
                <w:sz w:val="32"/>
                <w:szCs w:val="32"/>
              </w:rPr>
              <w:t xml:space="preserve">Page d'Inscription</w:t>
            </w:r>
          </w:p>
          <w:p>
            <w:pPr>
              <w:spacing w:before="60"/>
            </w:pPr>
            <w:r>
              <w:rPr>
                <w:rFonts w:ascii="Arial" w:cs="Arial" w:eastAsia="Arial" w:hAnsi="Arial"/>
                <w:i/>
                <w:iCs/>
                <w:color w:val="4A5568"/>
                <w:sz w:val="20"/>
                <w:szCs w:val="20"/>
              </w:rPr>
              <w:t xml:space="preserve">Première impression · Authentification · Accès à l'application</w:t>
            </w:r>
          </w:p>
        </w:tc>
      </w:tr>
    </w:tbl>
    <w:p>
      <w:pPr>
        <w:spacing w:after="0" w:before="200"/>
      </w:pPr>
      <w:r>
        <w:t xml:space="preserve"/>
      </w:r>
    </w:p>
    <w:p>
      <w:pPr>
        <w:spacing w:after="100" w:before="22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00400"/>
                    </a:xfrm>
                    <a:prstGeom prst="rect">
                      <a:avLst/>
                    </a:prstGeom>
                  </pic:spPr>
                </pic:pic>
              </a:graphicData>
            </a:graphic>
          </wp:inline>
        </w:drawing>
      </w:r>
    </w:p>
    <w:p>
      <w:pPr>
        <w:spacing w:after="240" w:before="0"/>
        <w:jc w:val="center"/>
      </w:pPr>
      <w:r>
        <w:rPr>
          <w:rFonts w:ascii="Arial" w:cs="Arial" w:eastAsia="Arial" w:hAnsi="Arial"/>
          <w:i/>
          <w:iCs/>
          <w:color w:val="4A5568"/>
          <w:sz w:val="18"/>
          <w:szCs w:val="18"/>
        </w:rPr>
        <w:t xml:space="preserve">Écran 1 — Page d'inscription Voygo avec fond paysage montagneux</w:t>
      </w:r>
    </w:p>
    <w:p>
      <w:pPr>
        <w:pStyle w:val="Heading2"/>
        <w:spacing w:after="140" w:before="320"/>
      </w:pPr>
      <w:r>
        <w:rPr>
          <w:rFonts w:ascii="Arial" w:cs="Arial" w:eastAsia="Arial" w:hAnsi="Arial"/>
          <w:b/>
          <w:bCs/>
          <w:color w:val="1A5C8A"/>
          <w:sz w:val="28"/>
          <w:szCs w:val="28"/>
        </w:rPr>
        <w:t xml:space="preserve">Description générale</w:t>
      </w:r>
    </w:p>
    <w:p>
      <w:pPr>
        <w:spacing w:after="80" w:before="80"/>
      </w:pPr>
      <w:r>
        <w:rPr>
          <w:rFonts w:ascii="Arial" w:cs="Arial" w:eastAsia="Arial" w:hAnsi="Arial"/>
          <w:i w:val="false"/>
          <w:iCs w:val="false"/>
          <w:color w:val="1A1A2E"/>
          <w:sz w:val="22"/>
          <w:szCs w:val="22"/>
        </w:rPr>
        <w:t xml:space="preserve">L'écran d'inscription est la porte d'entrée de Voygo. Il accueille les nouveaux utilisateurs avec un design épuré et immersif, centré sur la conversion. Le fond photographique plein écran (paysage de montagne) installe immédiatement l'univers du voyage et renforce l'identité de marque.</w:t>
      </w:r>
    </w:p>
    <w:p>
      <w:pPr>
        <w:spacing w:after="80" w:before="80"/>
      </w:pPr>
      <w:r>
        <w:rPr>
          <w:rFonts w:ascii="Arial" w:cs="Arial" w:eastAsia="Arial" w:hAnsi="Arial"/>
          <w:i w:val="false"/>
          <w:iCs w:val="false"/>
          <w:color w:val="1A1A2E"/>
          <w:sz w:val="22"/>
          <w:szCs w:val="22"/>
        </w:rPr>
        <w:t xml:space="preserve">La carte d'inscription flottante au centre de l'écran concentre l'attention sur l'action principale sans surcharger l'espace visuel.</w:t>
      </w:r>
    </w:p>
    <w:p>
      <w:pPr>
        <w:spacing w:after="0" w:before="120"/>
      </w:pPr>
      <w:r>
        <w:t xml:space="preserve"/>
      </w:r>
    </w:p>
    <w:p>
      <w:pPr>
        <w:pStyle w:val="Heading2"/>
        <w:spacing w:after="140" w:before="320"/>
      </w:pPr>
      <w:r>
        <w:rPr>
          <w:rFonts w:ascii="Arial" w:cs="Arial" w:eastAsia="Arial" w:hAnsi="Arial"/>
          <w:b/>
          <w:bCs/>
          <w:color w:val="1A5C8A"/>
          <w:sz w:val="28"/>
          <w:szCs w:val="28"/>
        </w:rPr>
        <w:t xml:space="preserve">Composants de l'écran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Logo Voygo</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Positionné en haut de la carte — ancre la marque et rassure l'utilisateur</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Titre "Create an account"</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Titre principal clair — invite directement à l'action</w:t>
            </w:r>
          </w:p>
        </w:tc>
      </w:tr>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Sous-titre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Instruction courte "Enter your email to sign up for this app"</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Champ email</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Champ de saisie avec placeholder email@domain.com — bordure teal au focus</w:t>
            </w:r>
          </w:p>
        </w:tc>
      </w:tr>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Bouton principal</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"Sign up with email" — fond teal foncé, pleine largeur, bien visible</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Séparateur "or continue with"</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Alternative d'inscription avec compte tiers</w:t>
            </w:r>
          </w:p>
        </w:tc>
      </w:tr>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Bouton Google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OAuth Google — icône Google officielle, bord arrondi, fond clair</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Lien légal</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Renvoi vers CGU et Politique de confidentialité — conformité RGPD</w:t>
            </w:r>
          </w:p>
        </w:tc>
      </w:tr>
    </w:tbl>
    <w:p>
      <w:pPr>
        <w:spacing w:after="0" w:before="160"/>
      </w:pPr>
      <w:r>
        <w:t xml:space="preserve"/>
      </w:r>
    </w:p>
    <w:p>
      <w:pPr>
        <w:pStyle w:val="Heading2"/>
        <w:spacing w:after="140" w:before="320"/>
      </w:pPr>
      <w:r>
        <w:rPr>
          <w:rFonts w:ascii="Arial" w:cs="Arial" w:eastAsia="Arial" w:hAnsi="Arial"/>
          <w:b/>
          <w:bCs/>
          <w:color w:val="1A5C8A"/>
          <w:sz w:val="28"/>
          <w:szCs w:val="28"/>
        </w:rPr>
        <w:t xml:space="preserve">Flux de navigation</w:t>
      </w:r>
    </w:p>
    <w:p>
      <w:pPr>
        <w:pStyle w:val="ListParagraph"/>
        <w:numPr>
          <w:ilvl w:val="0"/>
          <w:numId w:val="2"/>
        </w:numPr>
        <w:spacing w:after="60" w:before="60"/>
      </w:pPr>
      <w:r>
        <w:rPr>
          <w:rFonts w:ascii="Arial" w:cs="Arial" w:eastAsia="Arial" w:hAnsi="Arial"/>
          <w:color w:val="1A1A2E"/>
          <w:sz w:val="22"/>
          <w:szCs w:val="22"/>
        </w:rPr>
        <w:t xml:space="preserve">Saisie email → clic "Sign up with email" → page de création de mot de passe</w:t>
      </w:r>
    </w:p>
    <w:p>
      <w:pPr>
        <w:pStyle w:val="ListParagraph"/>
        <w:numPr>
          <w:ilvl w:val="0"/>
          <w:numId w:val="2"/>
        </w:numPr>
        <w:spacing w:after="60" w:before="60"/>
      </w:pPr>
      <w:r>
        <w:rPr>
          <w:rFonts w:ascii="Arial" w:cs="Arial" w:eastAsia="Arial" w:hAnsi="Arial"/>
          <w:color w:val="1A1A2E"/>
          <w:sz w:val="22"/>
          <w:szCs w:val="22"/>
        </w:rPr>
        <w:t xml:space="preserve">Clic "Google" → redirection OAuth Google → retour sur le tableau de bord</w:t>
      </w:r>
    </w:p>
    <w:p>
      <w:pPr>
        <w:pStyle w:val="ListParagraph"/>
        <w:numPr>
          <w:ilvl w:val="0"/>
          <w:numId w:val="2"/>
        </w:numPr>
        <w:spacing w:after="60" w:before="60"/>
      </w:pPr>
      <w:r>
        <w:rPr>
          <w:rFonts w:ascii="Arial" w:cs="Arial" w:eastAsia="Arial" w:hAnsi="Arial"/>
          <w:color w:val="1A1A2E"/>
          <w:sz w:val="22"/>
          <w:szCs w:val="22"/>
        </w:rPr>
        <w:t xml:space="preserve">Si compte existant → lien "Se connecter" (à prévoir dans la version finale)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F5A623" w:val="clear"/>
            <w:tcMar>
              <w:top w:type="dxa" w:w="120"/>
              <w:left w:type="dxa" w:w="120"/>
              <w:bottom w:type="dxa" w:w="120"/>
              <w:right w:type="dxa" w:w="80"/>
            </w:tcMar>
            <w:vAlign w:val="center"/>
          </w:tcPr>
          <w:p>
            <w:pPr>
              <w:jc w:val="center"/>
            </w:pPr>
            <w:r>
              <w:rPr>
                <w:rFonts w:ascii="Segoe UI Emoji" w:cs="Segoe UI Emoji" w:eastAsia="Segoe UI Emoji" w:hAnsi="Segoe UI Emoji"/>
                <w:sz w:val="24"/>
                <w:szCs w:val="24"/>
              </w:rPr>
              <w:t xml:space="preserve">💡</w:t>
            </w:r>
          </w:p>
        </w:tc>
        <w:tc>
          <w:tcPr>
            <w:tcBorders>
              <w:top w:val="single" w:color="F5A623" w:sz="1"/>
              <w:left w:val="none"/>
              <w:bottom w:val="single" w:color="F5A623" w:sz="1"/>
              <w:right w:val="single" w:color="F5A623" w:sz="1"/>
            </w:tcBorders>
            <w:shd w:fill="FEF9EE" w:val="clear"/>
            <w:tcMar>
              <w:top w:type="dxa" w:w="100"/>
              <w:left w:type="dxa" w:w="160"/>
              <w:bottom w:type="dxa" w:w="100"/>
              <w:right w:type="dxa" w:w="160"/>
            </w:tcMar>
          </w:tcPr>
          <w:p>
            <w:r>
              <w:rPr>
                <w:rFonts w:ascii="Arial" w:cs="Arial" w:eastAsia="Arial" w:hAnsi="Arial"/>
                <w:b/>
                <w:bCs/>
                <w:color w:val="F5A623"/>
                <w:sz w:val="20"/>
                <w:szCs w:val="20"/>
              </w:rPr>
              <w:t xml:space="preserve">Note UX — </w:t>
            </w:r>
            <w:r>
              <w:rPr>
                <w:rFonts w:ascii="Arial" w:cs="Arial" w:eastAsia="Arial" w:hAnsi="Arial"/>
                <w:color w:val="1A1A2E"/>
                <w:sz w:val="20"/>
                <w:szCs w:val="20"/>
              </w:rPr>
              <w:t xml:space="preserve">Le fond paysage crée une immersion immédiate dans l'univers voyage. La carte centrale flottante avec légère ombre portée maintient la lisibilité des éléments malgré le fond complexe. Ce pattern (hero photo + carte formulaire centrée) est une convention reconnue qui minimise la friction à l'inscription.</w:t>
            </w:r>
          </w:p>
        </w:tc>
      </w:tr>
    </w:tbl>
    <w:p>
      <w:pPr>
        <w:spacing w:after="0" w:before="160"/>
      </w:pPr>
      <w:r>
        <w:t xml:space="preserve"/>
      </w:r>
    </w:p>
    <w:p>
      <w:pPr>
        <w:pBdr>
          <w:bottom w:val="single" w:color="D0E8F5" w:sz="2" w:space="1"/>
        </w:pBdr>
        <w:spacing w:after="200" w:before="20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none"/>
              <w:left w:val="none"/>
              <w:bottom w:val="none"/>
              <w:right w:val="none"/>
            </w:tcBorders>
            <w:shd w:fill="1A5C8A" w:val="clear"/>
            <w:tcMar>
              <w:top w:type="dxa" w:w="120"/>
              <w:left w:type="dxa" w:w="160"/>
              <w:bottom w:type="dxa" w:w="120"/>
              <w:right w:type="dxa" w:w="160"/>
            </w:tcMar>
            <w:vAlign w:val="center"/>
          </w:tcPr>
          <w:p>
            <w:pPr>
              <w:jc w:val="center"/>
            </w:pPr>
            <w:r>
              <w:rPr>
                <w:rFonts w:ascii="Arial" w:cs="Arial" w:eastAsia="Arial" w:hAnsi="Arial"/>
                <w:color w:val="D0E8F5"/>
                <w:sz w:val="18"/>
                <w:szCs w:val="18"/>
              </w:rPr>
              <w:t xml:space="preserve">Écran</w:t>
            </w:r>
          </w:p>
          <w:p>
            <w:pPr>
              <w:jc w:val="center"/>
            </w:pPr>
            <w:r>
              <w:rPr>
                <w:rFonts w:ascii="Arial" w:cs="Arial" w:eastAsia="Arial" w:hAnsi="Arial"/>
                <w:b/>
                <w:bCs/>
                <w:color w:val="FFFFFF"/>
                <w:sz w:val="52"/>
                <w:szCs w:val="52"/>
              </w:rPr>
              <w:t xml:space="preserve">02</w:t>
            </w:r>
          </w:p>
        </w:tc>
        <w:tc>
          <w:tcPr>
            <w:tcW w:type="dxa" w:w="8026"/>
            <w:tcBorders>
              <w:top w:val="none"/>
              <w:left w:val="none"/>
              <w:bottom w:val="none"/>
              <w:right w:val="none"/>
            </w:tcBorders>
            <w:shd w:fill="EBF4FB" w:val="clear"/>
            <w:tcMar>
              <w:top w:type="dxa" w:w="120"/>
              <w:left w:type="dxa" w:w="240"/>
              <w:bottom w:type="dxa" w:w="120"/>
              <w:right w:type="dxa" w:w="160"/>
            </w:tcMar>
            <w:vAlign w:val="center"/>
          </w:tcPr>
          <w:p>
            <w:r>
              <w:rPr>
                <w:rFonts w:ascii="Arial" w:cs="Arial" w:eastAsia="Arial" w:hAnsi="Arial"/>
                <w:b/>
                <w:bCs/>
                <w:color w:val="1A5C8A"/>
                <w:sz w:val="32"/>
                <w:szCs w:val="32"/>
              </w:rPr>
              <w:t xml:space="preserve">Tableau de bord du Voyage</w:t>
            </w:r>
          </w:p>
          <w:p>
            <w:pPr>
              <w:spacing w:before="60"/>
            </w:pPr>
            <w:r>
              <w:rPr>
                <w:rFonts w:ascii="Arial" w:cs="Arial" w:eastAsia="Arial" w:hAnsi="Arial"/>
                <w:i/>
                <w:iCs/>
                <w:color w:val="4A5568"/>
                <w:sz w:val="20"/>
                <w:szCs w:val="20"/>
              </w:rPr>
              <w:t xml:space="preserve">Vue d'ensemble · Planification · Activités · Transport · Logement</w:t>
            </w:r>
          </w:p>
        </w:tc>
      </w:tr>
    </w:tbl>
    <w:p>
      <w:pPr>
        <w:spacing w:after="0" w:before="200"/>
      </w:pPr>
      <w:r>
        <w:t xml:space="preserve"/>
      </w:r>
    </w:p>
    <w:p>
      <w:pPr>
        <w:spacing w:after="100" w:before="220"/>
        <w:jc w:val="center"/>
      </w:pPr>
      <w:r>
        <w:drawing>
          <wp:inline distT="0" distB="0" distL="0" distR="0">
            <wp:extent cx="5905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81425"/>
                    </a:xfrm>
                    <a:prstGeom prst="rect">
                      <a:avLst/>
                    </a:prstGeom>
                  </pic:spPr>
                </pic:pic>
              </a:graphicData>
            </a:graphic>
          </wp:inline>
        </w:drawing>
      </w:r>
    </w:p>
    <w:p>
      <w:pPr>
        <w:spacing w:after="240" w:before="0"/>
        <w:jc w:val="center"/>
      </w:pPr>
      <w:r>
        <w:rPr>
          <w:rFonts w:ascii="Arial" w:cs="Arial" w:eastAsia="Arial" w:hAnsi="Arial"/>
          <w:i/>
          <w:iCs/>
          <w:color w:val="4A5568"/>
          <w:sz w:val="18"/>
          <w:szCs w:val="18"/>
        </w:rPr>
        <w:t xml:space="preserve">Écran 2 — Tableau de bord principal avec modules Transport, Logement et Activités</w:t>
      </w:r>
    </w:p>
    <w:p>
      <w:pPr>
        <w:pStyle w:val="Heading2"/>
        <w:spacing w:after="140" w:before="320"/>
      </w:pPr>
      <w:r>
        <w:rPr>
          <w:rFonts w:ascii="Arial" w:cs="Arial" w:eastAsia="Arial" w:hAnsi="Arial"/>
          <w:b/>
          <w:bCs/>
          <w:color w:val="1A5C8A"/>
          <w:sz w:val="28"/>
          <w:szCs w:val="28"/>
        </w:rPr>
        <w:t xml:space="preserve">Description générale</w:t>
      </w:r>
    </w:p>
    <w:p>
      <w:pPr>
        <w:spacing w:after="80" w:before="80"/>
      </w:pPr>
      <w:r>
        <w:rPr>
          <w:rFonts w:ascii="Arial" w:cs="Arial" w:eastAsia="Arial" w:hAnsi="Arial"/>
          <w:i w:val="false"/>
          <w:iCs w:val="false"/>
          <w:color w:val="1A1A2E"/>
          <w:sz w:val="22"/>
          <w:szCs w:val="22"/>
        </w:rPr>
        <w:t xml:space="preserve">Le tableau de bord est le cœur de l'application Voygo. C'est l'écran que l'utilisateur consulte au quotidien pour organiser son voyage. Il offre une vue synthétique et modulaire de l'ensemble des éléments du séjour : transport, logement et activités.</w:t>
      </w:r>
    </w:p>
    <w:p>
      <w:pPr>
        <w:spacing w:after="80" w:before="80"/>
      </w:pPr>
      <w:r>
        <w:rPr>
          <w:rFonts w:ascii="Arial" w:cs="Arial" w:eastAsia="Arial" w:hAnsi="Arial"/>
          <w:i w:val="false"/>
          <w:iCs w:val="false"/>
          <w:color w:val="1A1A2E"/>
          <w:sz w:val="22"/>
          <w:szCs w:val="22"/>
        </w:rPr>
        <w:t xml:space="preserve">L'interface est conçue autour d'un système de cartes interactives, chacune dédiée à une catégorie de planification. La barre de navigation supérieure permet de basculer rapidement entre les vues Tableau, Agenda et Budget.</w:t>
      </w:r>
    </w:p>
    <w:p>
      <w:pPr>
        <w:spacing w:after="0" w:before="120"/>
      </w:pPr>
      <w:r>
        <w:t xml:space="preserve"/>
      </w:r>
    </w:p>
    <w:p>
      <w:pPr>
        <w:pStyle w:val="Heading2"/>
        <w:spacing w:after="140" w:before="320"/>
      </w:pPr>
      <w:r>
        <w:rPr>
          <w:rFonts w:ascii="Arial" w:cs="Arial" w:eastAsia="Arial" w:hAnsi="Arial"/>
          <w:b/>
          <w:bCs/>
          <w:color w:val="1A5C8A"/>
          <w:sz w:val="28"/>
          <w:szCs w:val="28"/>
        </w:rPr>
        <w:t xml:space="preserve">Structure de la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Barre de navigation haute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Logo Voygo à gauche · onglets Tableau / Agenda / Prix · champs Destination et Date à droite · avatar utilisateur · bouton Partager · menu ···</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Carte Transport</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Module dédié à l'ajout du transport principal (vol, train…) — bouton + central pour saisir ou importer</w:t>
            </w:r>
          </w:p>
        </w:tc>
      </w:tr>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Carte Logement</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Module dédié à l'hébergement (hôtel, Airbnb…) — même logique d'ajout rapide</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Carte Transport sur place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Section listant les moyens de déplacement locaux avec colonnes Moyen / Temps de trajet / Prix</w:t>
            </w:r>
          </w:p>
        </w:tc>
      </w:tr>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Carte Activités à faire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Suggestions d'activités pour la destination + bouton "Voir Plus" — icône + pour ajouter directement au planning</w:t>
            </w:r>
          </w:p>
        </w:tc>
      </w:tr>
    </w:tbl>
    <w:p>
      <w:pPr>
        <w:spacing w:after="0" w:before="120"/>
      </w:pPr>
      <w:r>
        <w:t xml:space="preserve"/>
      </w:r>
    </w:p>
    <w:p>
      <w:pPr>
        <w:pStyle w:val="Heading2"/>
        <w:spacing w:after="140" w:before="320"/>
      </w:pPr>
      <w:r>
        <w:rPr>
          <w:rFonts w:ascii="Arial" w:cs="Arial" w:eastAsia="Arial" w:hAnsi="Arial"/>
          <w:b/>
          <w:bCs/>
          <w:color w:val="1A5C8A"/>
          <w:sz w:val="28"/>
          <w:szCs w:val="28"/>
        </w:rPr>
        <w:t xml:space="preserve">Fonctionnalités accessibles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left w:val="none"/>
              <w:bottom w:val="none"/>
              <w:right w:val="none"/>
            </w:tcBorders>
            <w:tcMar>
              <w:top w:type="dxa" w:w="60"/>
              <w:left w:type="dxa" w:w="0"/>
              <w:bottom w:type="dxa" w:w="60"/>
              <w:right w:type="dxa" w:w="12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Ajouter un transport principal</w:t>
            </w:r>
          </w:p>
        </w:tc>
        <w:tc>
          <w:tcPr>
            <w:tcW w:type="dxa" w:w="4413"/>
            <w:tcBorders>
              <w:top w:val="none"/>
              <w:left w:val="none"/>
              <w:bottom w:val="none"/>
              <w:right w:val="none"/>
            </w:tcBorders>
            <w:tcMar>
              <w:top w:type="dxa" w:w="60"/>
              <w:left w:type="dxa" w:w="120"/>
              <w:bottom w:type="dxa" w:w="60"/>
              <w:right w:type="dxa" w:w="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Accéder à l'agenda du voyage</w:t>
            </w:r>
          </w:p>
        </w:tc>
      </w:tr>
      <w:tr>
        <w:tc>
          <w:tcPr>
            <w:tcW w:type="dxa" w:w="4413"/>
            <w:tcBorders>
              <w:top w:val="none"/>
              <w:left w:val="none"/>
              <w:bottom w:val="none"/>
              <w:right w:val="none"/>
            </w:tcBorders>
            <w:tcMar>
              <w:top w:type="dxa" w:w="60"/>
              <w:left w:type="dxa" w:w="0"/>
              <w:bottom w:type="dxa" w:w="60"/>
              <w:right w:type="dxa" w:w="12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Ajouter un logement</w:t>
            </w:r>
          </w:p>
        </w:tc>
        <w:tc>
          <w:tcPr>
            <w:tcW w:type="dxa" w:w="4413"/>
            <w:tcBorders>
              <w:top w:val="none"/>
              <w:left w:val="none"/>
              <w:bottom w:val="none"/>
              <w:right w:val="none"/>
            </w:tcBorders>
            <w:tcMar>
              <w:top w:type="dxa" w:w="60"/>
              <w:left w:type="dxa" w:w="120"/>
              <w:bottom w:type="dxa" w:w="60"/>
              <w:right w:type="dxa" w:w="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Voir le suivi budgétaire (onglet Prix)</w:t>
            </w:r>
          </w:p>
        </w:tc>
      </w:tr>
      <w:tr>
        <w:tc>
          <w:tcPr>
            <w:tcW w:type="dxa" w:w="4413"/>
            <w:tcBorders>
              <w:top w:val="none"/>
              <w:left w:val="none"/>
              <w:bottom w:val="none"/>
              <w:right w:val="none"/>
            </w:tcBorders>
            <w:tcMar>
              <w:top w:type="dxa" w:w="60"/>
              <w:left w:type="dxa" w:w="0"/>
              <w:bottom w:type="dxa" w:w="60"/>
              <w:right w:type="dxa" w:w="12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Consulter les transports locaux</w:t>
            </w:r>
          </w:p>
        </w:tc>
        <w:tc>
          <w:tcPr>
            <w:tcW w:type="dxa" w:w="4413"/>
            <w:tcBorders>
              <w:top w:val="none"/>
              <w:left w:val="none"/>
              <w:bottom w:val="none"/>
              <w:right w:val="none"/>
            </w:tcBorders>
            <w:tcMar>
              <w:top w:type="dxa" w:w="60"/>
              <w:left w:type="dxa" w:w="120"/>
              <w:bottom w:type="dxa" w:w="60"/>
              <w:right w:type="dxa" w:w="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Partager le voyage avec des collaborateurs</w:t>
            </w:r>
          </w:p>
        </w:tc>
      </w:tr>
      <w:tr>
        <w:tc>
          <w:tcPr>
            <w:tcW w:type="dxa" w:w="4413"/>
            <w:tcBorders>
              <w:top w:val="none"/>
              <w:left w:val="none"/>
              <w:bottom w:val="none"/>
              <w:right w:val="none"/>
            </w:tcBorders>
            <w:tcMar>
              <w:top w:type="dxa" w:w="60"/>
              <w:left w:type="dxa" w:w="0"/>
              <w:bottom w:type="dxa" w:w="60"/>
              <w:right w:type="dxa" w:w="12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Découvrir des activités suggérées</w:t>
            </w:r>
          </w:p>
        </w:tc>
        <w:tc>
          <w:tcPr>
            <w:tcW w:type="dxa" w:w="4413"/>
            <w:tcBorders>
              <w:top w:val="none"/>
              <w:left w:val="none"/>
              <w:bottom w:val="none"/>
              <w:right w:val="none"/>
            </w:tcBorders>
            <w:tcMar>
              <w:top w:type="dxa" w:w="60"/>
              <w:left w:type="dxa" w:w="120"/>
              <w:bottom w:type="dxa" w:w="60"/>
              <w:right w:type="dxa" w:w="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Filtrer par destination et date</w:t>
            </w:r>
          </w:p>
        </w:tc>
      </w:tr>
    </w:tbl>
    <w:p>
      <w:pPr>
        <w:spacing w:after="0" w:before="160"/>
      </w:pPr>
      <w:r>
        <w:t xml:space="preserve"/>
      </w:r>
    </w:p>
    <w:p>
      <w:pPr>
        <w:pStyle w:val="Heading2"/>
        <w:spacing w:after="140" w:before="320"/>
      </w:pPr>
      <w:r>
        <w:rPr>
          <w:rFonts w:ascii="Arial" w:cs="Arial" w:eastAsia="Arial" w:hAnsi="Arial"/>
          <w:b/>
          <w:bCs/>
          <w:color w:val="1A5C8A"/>
          <w:sz w:val="28"/>
          <w:szCs w:val="28"/>
        </w:rPr>
        <w:t xml:space="preserve">Logique de navigation</w:t>
      </w:r>
    </w:p>
    <w:p>
      <w:pPr>
        <w:pStyle w:val="ListParagraph"/>
        <w:numPr>
          <w:ilvl w:val="0"/>
          <w:numId w:val="2"/>
        </w:numPr>
        <w:spacing w:after="60" w:before="60"/>
      </w:pPr>
      <w:r>
        <w:rPr>
          <w:rFonts w:ascii="Arial" w:cs="Arial" w:eastAsia="Arial" w:hAnsi="Arial"/>
          <w:color w:val="1A1A2E"/>
          <w:sz w:val="22"/>
          <w:szCs w:val="22"/>
        </w:rPr>
        <w:t xml:space="preserve">Onglet "Agenda" → bascule vers la vue agenda jour par jour (Écran 3)</w:t>
      </w:r>
    </w:p>
    <w:p>
      <w:pPr>
        <w:pStyle w:val="ListParagraph"/>
        <w:numPr>
          <w:ilvl w:val="0"/>
          <w:numId w:val="2"/>
        </w:numPr>
        <w:spacing w:after="60" w:before="60"/>
      </w:pPr>
      <w:r>
        <w:rPr>
          <w:rFonts w:ascii="Arial" w:cs="Arial" w:eastAsia="Arial" w:hAnsi="Arial"/>
          <w:color w:val="1A1A2E"/>
          <w:sz w:val="22"/>
          <w:szCs w:val="22"/>
        </w:rPr>
        <w:t xml:space="preserve">Onglet "Prix" → accès au module de suivi budgétaire</w:t>
      </w:r>
    </w:p>
    <w:p>
      <w:pPr>
        <w:pStyle w:val="ListParagraph"/>
        <w:numPr>
          <w:ilvl w:val="0"/>
          <w:numId w:val="2"/>
        </w:numPr>
        <w:spacing w:after="60" w:before="60"/>
      </w:pPr>
      <w:r>
        <w:rPr>
          <w:rFonts w:ascii="Arial" w:cs="Arial" w:eastAsia="Arial" w:hAnsi="Arial"/>
          <w:color w:val="1A1A2E"/>
          <w:sz w:val="22"/>
          <w:szCs w:val="22"/>
        </w:rPr>
        <w:t xml:space="preserve">Bouton "+" sur Transport → modale d'ajout de transport</w:t>
      </w:r>
    </w:p>
    <w:p>
      <w:pPr>
        <w:pStyle w:val="ListParagraph"/>
        <w:numPr>
          <w:ilvl w:val="0"/>
          <w:numId w:val="2"/>
        </w:numPr>
        <w:spacing w:after="60" w:before="60"/>
      </w:pPr>
      <w:r>
        <w:rPr>
          <w:rFonts w:ascii="Arial" w:cs="Arial" w:eastAsia="Arial" w:hAnsi="Arial"/>
          <w:color w:val="1A1A2E"/>
          <w:sz w:val="22"/>
          <w:szCs w:val="22"/>
        </w:rPr>
        <w:t xml:space="preserve">Bouton "+" sur Logement → modale d'ajout d'hébergement</w:t>
      </w:r>
    </w:p>
    <w:p>
      <w:pPr>
        <w:pStyle w:val="ListParagraph"/>
        <w:numPr>
          <w:ilvl w:val="0"/>
          <w:numId w:val="2"/>
        </w:numPr>
        <w:spacing w:after="60" w:before="60"/>
      </w:pPr>
      <w:r>
        <w:rPr>
          <w:rFonts w:ascii="Arial" w:cs="Arial" w:eastAsia="Arial" w:hAnsi="Arial"/>
          <w:color w:val="1A1A2E"/>
          <w:sz w:val="22"/>
          <w:szCs w:val="22"/>
        </w:rPr>
        <w:t xml:space="preserve">"Voir Plus" dans Activités → page d'exploration des activités (OpenTripMap)</w:t>
      </w:r>
    </w:p>
    <w:p>
      <w:pPr>
        <w:pStyle w:val="ListParagraph"/>
        <w:numPr>
          <w:ilvl w:val="0"/>
          <w:numId w:val="2"/>
        </w:numPr>
        <w:spacing w:after="60" w:before="60"/>
      </w:pPr>
      <w:r>
        <w:rPr>
          <w:rFonts w:ascii="Arial" w:cs="Arial" w:eastAsia="Arial" w:hAnsi="Arial"/>
          <w:color w:val="1A1A2E"/>
          <w:sz w:val="22"/>
          <w:szCs w:val="22"/>
        </w:rPr>
        <w:t xml:space="preserve">"Partager" → modale de partage par email avec choix des droits (lecture / édition)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F5A623" w:val="clear"/>
            <w:tcMar>
              <w:top w:type="dxa" w:w="120"/>
              <w:left w:type="dxa" w:w="120"/>
              <w:bottom w:type="dxa" w:w="120"/>
              <w:right w:type="dxa" w:w="80"/>
            </w:tcMar>
            <w:vAlign w:val="center"/>
          </w:tcPr>
          <w:p>
            <w:pPr>
              <w:jc w:val="center"/>
            </w:pPr>
            <w:r>
              <w:rPr>
                <w:rFonts w:ascii="Segoe UI Emoji" w:cs="Segoe UI Emoji" w:eastAsia="Segoe UI Emoji" w:hAnsi="Segoe UI Emoji"/>
                <w:sz w:val="24"/>
                <w:szCs w:val="24"/>
              </w:rPr>
              <w:t xml:space="preserve">💡</w:t>
            </w:r>
          </w:p>
        </w:tc>
        <w:tc>
          <w:tcPr>
            <w:tcBorders>
              <w:top w:val="single" w:color="F5A623" w:sz="1"/>
              <w:left w:val="none"/>
              <w:bottom w:val="single" w:color="F5A623" w:sz="1"/>
              <w:right w:val="single" w:color="F5A623" w:sz="1"/>
            </w:tcBorders>
            <w:shd w:fill="FEF9EE" w:val="clear"/>
            <w:tcMar>
              <w:top w:type="dxa" w:w="100"/>
              <w:left w:type="dxa" w:w="160"/>
              <w:bottom w:type="dxa" w:w="100"/>
              <w:right w:type="dxa" w:w="160"/>
            </w:tcMar>
          </w:tcPr>
          <w:p>
            <w:r>
              <w:rPr>
                <w:rFonts w:ascii="Arial" w:cs="Arial" w:eastAsia="Arial" w:hAnsi="Arial"/>
                <w:b/>
                <w:bCs/>
                <w:color w:val="F5A623"/>
                <w:sz w:val="20"/>
                <w:szCs w:val="20"/>
              </w:rPr>
              <w:t xml:space="preserve">Note UX — </w:t>
            </w:r>
            <w:r>
              <w:rPr>
                <w:rFonts w:ascii="Arial" w:cs="Arial" w:eastAsia="Arial" w:hAnsi="Arial"/>
                <w:color w:val="1A1A2E"/>
                <w:sz w:val="20"/>
                <w:szCs w:val="20"/>
              </w:rPr>
              <w:t xml:space="preserve">Le système de cartes modulaires permet d'afficher uniquement ce qui a été renseigné, évitant les zones vides frustrantes. Le bouton + au centre de chaque carte vide guide intuitivement l'utilisateur vers la prochaine action à accomplir — un pattern d'onboarding progressif efficace.</w:t>
            </w:r>
          </w:p>
        </w:tc>
      </w:tr>
    </w:tbl>
    <w:p>
      <w:pPr>
        <w:spacing w:after="0" w:before="160"/>
      </w:pPr>
      <w:r>
        <w:t xml:space="preserve"/>
      </w:r>
    </w:p>
    <w:p>
      <w:pPr>
        <w:pBdr>
          <w:bottom w:val="single" w:color="D0E8F5" w:sz="2" w:space="1"/>
        </w:pBdr>
        <w:spacing w:after="200" w:before="20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none"/>
              <w:left w:val="none"/>
              <w:bottom w:val="none"/>
              <w:right w:val="none"/>
            </w:tcBorders>
            <w:shd w:fill="1A5C8A" w:val="clear"/>
            <w:tcMar>
              <w:top w:type="dxa" w:w="120"/>
              <w:left w:type="dxa" w:w="160"/>
              <w:bottom w:type="dxa" w:w="120"/>
              <w:right w:type="dxa" w:w="160"/>
            </w:tcMar>
            <w:vAlign w:val="center"/>
          </w:tcPr>
          <w:p>
            <w:pPr>
              <w:jc w:val="center"/>
            </w:pPr>
            <w:r>
              <w:rPr>
                <w:rFonts w:ascii="Arial" w:cs="Arial" w:eastAsia="Arial" w:hAnsi="Arial"/>
                <w:color w:val="D0E8F5"/>
                <w:sz w:val="18"/>
                <w:szCs w:val="18"/>
              </w:rPr>
              <w:t xml:space="preserve">Écran</w:t>
            </w:r>
          </w:p>
          <w:p>
            <w:pPr>
              <w:jc w:val="center"/>
            </w:pPr>
            <w:r>
              <w:rPr>
                <w:rFonts w:ascii="Arial" w:cs="Arial" w:eastAsia="Arial" w:hAnsi="Arial"/>
                <w:b/>
                <w:bCs/>
                <w:color w:val="FFFFFF"/>
                <w:sz w:val="52"/>
                <w:szCs w:val="52"/>
              </w:rPr>
              <w:t xml:space="preserve">03</w:t>
            </w:r>
          </w:p>
        </w:tc>
        <w:tc>
          <w:tcPr>
            <w:tcW w:type="dxa" w:w="8026"/>
            <w:tcBorders>
              <w:top w:val="none"/>
              <w:left w:val="none"/>
              <w:bottom w:val="none"/>
              <w:right w:val="none"/>
            </w:tcBorders>
            <w:shd w:fill="EBF4FB" w:val="clear"/>
            <w:tcMar>
              <w:top w:type="dxa" w:w="120"/>
              <w:left w:type="dxa" w:w="240"/>
              <w:bottom w:type="dxa" w:w="120"/>
              <w:right w:type="dxa" w:w="160"/>
            </w:tcMar>
            <w:vAlign w:val="center"/>
          </w:tcPr>
          <w:p>
            <w:r>
              <w:rPr>
                <w:rFonts w:ascii="Arial" w:cs="Arial" w:eastAsia="Arial" w:hAnsi="Arial"/>
                <w:b/>
                <w:bCs/>
                <w:color w:val="1A5C8A"/>
                <w:sz w:val="32"/>
                <w:szCs w:val="32"/>
              </w:rPr>
              <w:t xml:space="preserve">Agenda — Vue par Jours</w:t>
            </w:r>
          </w:p>
          <w:p>
            <w:pPr>
              <w:spacing w:before="60"/>
            </w:pPr>
            <w:r>
              <w:rPr>
                <w:rFonts w:ascii="Arial" w:cs="Arial" w:eastAsia="Arial" w:hAnsi="Arial"/>
                <w:i/>
                <w:iCs/>
                <w:color w:val="4A5568"/>
                <w:sz w:val="20"/>
                <w:szCs w:val="20"/>
              </w:rPr>
              <w:t xml:space="preserve">Planification détaillée · Activités par jour · Transport · Sessions</w:t>
            </w:r>
          </w:p>
        </w:tc>
      </w:tr>
    </w:tbl>
    <w:p>
      <w:pPr>
        <w:spacing w:after="0" w:before="200"/>
      </w:pPr>
      <w:r>
        <w:t xml:space="preserve"/>
      </w:r>
    </w:p>
    <w:p>
      <w:pPr>
        <w:spacing w:after="100" w:before="22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14700"/>
                    </a:xfrm>
                    <a:prstGeom prst="rect">
                      <a:avLst/>
                    </a:prstGeom>
                  </pic:spPr>
                </pic:pic>
              </a:graphicData>
            </a:graphic>
          </wp:inline>
        </w:drawing>
      </w:r>
    </w:p>
    <w:p>
      <w:pPr>
        <w:spacing w:after="240" w:before="0"/>
        <w:jc w:val="center"/>
      </w:pPr>
      <w:r>
        <w:rPr>
          <w:rFonts w:ascii="Arial" w:cs="Arial" w:eastAsia="Arial" w:hAnsi="Arial"/>
          <w:i/>
          <w:iCs/>
          <w:color w:val="4A5568"/>
          <w:sz w:val="18"/>
          <w:szCs w:val="18"/>
        </w:rPr>
        <w:t xml:space="preserve">Écran 3 — Vue agenda avec colonnes par jour et détail des activités planifiées</w:t>
      </w:r>
    </w:p>
    <w:p>
      <w:pPr>
        <w:pStyle w:val="Heading2"/>
        <w:spacing w:after="140" w:before="320"/>
      </w:pPr>
      <w:r>
        <w:rPr>
          <w:rFonts w:ascii="Arial" w:cs="Arial" w:eastAsia="Arial" w:hAnsi="Arial"/>
          <w:b/>
          <w:bCs/>
          <w:color w:val="1A5C8A"/>
          <w:sz w:val="28"/>
          <w:szCs w:val="28"/>
        </w:rPr>
        <w:t xml:space="preserve">Description générale</w:t>
      </w:r>
    </w:p>
    <w:p>
      <w:pPr>
        <w:spacing w:after="80" w:before="80"/>
      </w:pPr>
      <w:r>
        <w:rPr>
          <w:rFonts w:ascii="Arial" w:cs="Arial" w:eastAsia="Arial" w:hAnsi="Arial"/>
          <w:i w:val="false"/>
          <w:iCs w:val="false"/>
          <w:color w:val="1A1A2E"/>
          <w:sz w:val="22"/>
          <w:szCs w:val="22"/>
        </w:rPr>
        <w:t xml:space="preserve">La vue Agenda offre une représentation visuelle et structurée du voyage, organisée en colonnes par journée. Elle permet à l'utilisateur de voir en un coup d'œil l'ensemble de son planning, d'identifier les journées chargées et d'équilibrer son programme.</w:t>
      </w:r>
    </w:p>
    <w:p>
      <w:pPr>
        <w:spacing w:after="80" w:before="80"/>
      </w:pPr>
      <w:r>
        <w:rPr>
          <w:rFonts w:ascii="Arial" w:cs="Arial" w:eastAsia="Arial" w:hAnsi="Arial"/>
          <w:i w:val="false"/>
          <w:iCs w:val="false"/>
          <w:color w:val="1A1A2E"/>
          <w:sz w:val="22"/>
          <w:szCs w:val="22"/>
        </w:rPr>
        <w:t xml:space="preserve">Cette vue est l'équivalent d'un planning de projet appliqué au voyage — chaque colonne représente une journée et chaque carte dans la colonne représente un élément planifié (activité, session, transport).</w:t>
      </w:r>
    </w:p>
    <w:p>
      <w:pPr>
        <w:spacing w:after="0" w:before="120"/>
      </w:pPr>
      <w:r>
        <w:t xml:space="preserve"/>
      </w:r>
    </w:p>
    <w:p>
      <w:pPr>
        <w:pStyle w:val="Heading2"/>
        <w:spacing w:after="140" w:before="320"/>
      </w:pPr>
      <w:r>
        <w:rPr>
          <w:rFonts w:ascii="Arial" w:cs="Arial" w:eastAsia="Arial" w:hAnsi="Arial"/>
          <w:b/>
          <w:bCs/>
          <w:color w:val="1A5C8A"/>
          <w:sz w:val="28"/>
          <w:szCs w:val="28"/>
        </w:rPr>
        <w:t xml:space="preserve">Structure de la vue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Barre de navigation</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Identique au Tableau de bord — cohérence inter-écrans assurée</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Grille de colonnes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Une colonne par jour (Jour 1 à Jour N) — défilement horizontal si le séjour est long</w:t>
            </w:r>
          </w:p>
        </w:tc>
      </w:tr>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Carte de jour</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Chaque colonne affiche : activités · sessions · moyen de déplacement · changement de lieu · prix estimé</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Champs par carte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Moyen · Sessions · Changement de déplacement — libellés visibles même sur petite largeur</w:t>
            </w:r>
          </w:p>
        </w:tc>
      </w:tr>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Indicateur Prix</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Affiché sur la carte "Jour 1" — permet un suivi budgétaire jour par jour</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Bouton Partager</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Toujours accessible en haut à droite pour inviter des collaborateurs en cours de planification</w:t>
            </w:r>
          </w:p>
        </w:tc>
      </w:tr>
    </w:tbl>
    <w:p>
      <w:pPr>
        <w:spacing w:after="0" w:before="120"/>
      </w:pPr>
      <w:r>
        <w:t xml:space="preserve"/>
      </w:r>
    </w:p>
    <w:p>
      <w:pPr>
        <w:pStyle w:val="Heading2"/>
        <w:spacing w:after="140" w:before="320"/>
      </w:pPr>
      <w:r>
        <w:rPr>
          <w:rFonts w:ascii="Arial" w:cs="Arial" w:eastAsia="Arial" w:hAnsi="Arial"/>
          <w:b/>
          <w:bCs/>
          <w:color w:val="1A5C8A"/>
          <w:sz w:val="28"/>
          <w:szCs w:val="28"/>
        </w:rPr>
        <w:t xml:space="preserve">Interactions prévues</w:t>
      </w:r>
    </w:p>
    <w:p>
      <w:pPr>
        <w:pStyle w:val="ListParagraph"/>
        <w:numPr>
          <w:ilvl w:val="0"/>
          <w:numId w:val="2"/>
        </w:numPr>
        <w:spacing w:after="60" w:before="60"/>
      </w:pPr>
      <w:r>
        <w:rPr>
          <w:rFonts w:ascii="Arial" w:cs="Arial" w:eastAsia="Arial" w:hAnsi="Arial"/>
          <w:color w:val="1A1A2E"/>
          <w:sz w:val="22"/>
          <w:szCs w:val="22"/>
        </w:rPr>
        <w:t xml:space="preserve">Clic sur une carte de jour → expansion / accès au détail de la journée</w:t>
      </w:r>
    </w:p>
    <w:p>
      <w:pPr>
        <w:pStyle w:val="ListParagraph"/>
        <w:numPr>
          <w:ilvl w:val="0"/>
          <w:numId w:val="2"/>
        </w:numPr>
        <w:spacing w:after="60" w:before="60"/>
      </w:pPr>
      <w:r>
        <w:rPr>
          <w:rFonts w:ascii="Arial" w:cs="Arial" w:eastAsia="Arial" w:hAnsi="Arial"/>
          <w:color w:val="1A1A2E"/>
          <w:sz w:val="22"/>
          <w:szCs w:val="22"/>
        </w:rPr>
        <w:t xml:space="preserve">Glisser-déposer d'une activité → réorganisation entre les jours</w:t>
      </w:r>
    </w:p>
    <w:p>
      <w:pPr>
        <w:pStyle w:val="ListParagraph"/>
        <w:numPr>
          <w:ilvl w:val="0"/>
          <w:numId w:val="2"/>
        </w:numPr>
        <w:spacing w:after="60" w:before="60"/>
      </w:pPr>
      <w:r>
        <w:rPr>
          <w:rFonts w:ascii="Arial" w:cs="Arial" w:eastAsia="Arial" w:hAnsi="Arial"/>
          <w:color w:val="1A1A2E"/>
          <w:sz w:val="22"/>
          <w:szCs w:val="22"/>
        </w:rPr>
        <w:t xml:space="preserve">Clic sur "Activité..." → modale d'édition de l'activité planifiée</w:t>
      </w:r>
    </w:p>
    <w:p>
      <w:pPr>
        <w:pStyle w:val="ListParagraph"/>
        <w:numPr>
          <w:ilvl w:val="0"/>
          <w:numId w:val="2"/>
        </w:numPr>
        <w:spacing w:after="60" w:before="60"/>
      </w:pPr>
      <w:r>
        <w:rPr>
          <w:rFonts w:ascii="Arial" w:cs="Arial" w:eastAsia="Arial" w:hAnsi="Arial"/>
          <w:color w:val="1A1A2E"/>
          <w:sz w:val="22"/>
          <w:szCs w:val="22"/>
        </w:rPr>
        <w:t xml:space="preserve">Défilement horizontal → navigation entre les jours si voyage &gt; 6 jours</w:t>
      </w:r>
    </w:p>
    <w:p>
      <w:pPr>
        <w:pStyle w:val="ListParagraph"/>
        <w:numPr>
          <w:ilvl w:val="0"/>
          <w:numId w:val="2"/>
        </w:numPr>
        <w:spacing w:after="60" w:before="60"/>
      </w:pPr>
      <w:r>
        <w:rPr>
          <w:rFonts w:ascii="Arial" w:cs="Arial" w:eastAsia="Arial" w:hAnsi="Arial"/>
          <w:color w:val="1A1A2E"/>
          <w:sz w:val="22"/>
          <w:szCs w:val="22"/>
        </w:rPr>
        <w:t xml:space="preserve">Indicateur de prix par jour → mise à jour automatique à l'ajout d'éléments</w:t>
      </w:r>
    </w:p>
    <w:p>
      <w:pPr>
        <w:spacing w:after="0" w:before="120"/>
      </w:pPr>
      <w:r>
        <w:t xml:space="preserve"/>
      </w:r>
    </w:p>
    <w:p>
      <w:pPr>
        <w:pStyle w:val="Heading2"/>
        <w:spacing w:after="140" w:before="320"/>
      </w:pPr>
      <w:r>
        <w:rPr>
          <w:rFonts w:ascii="Arial" w:cs="Arial" w:eastAsia="Arial" w:hAnsi="Arial"/>
          <w:b/>
          <w:bCs/>
          <w:color w:val="1A5C8A"/>
          <w:sz w:val="28"/>
          <w:szCs w:val="28"/>
        </w:rPr>
        <w:t xml:space="preserve">Données affichées par colonne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left w:val="none"/>
              <w:bottom w:val="none"/>
              <w:right w:val="none"/>
            </w:tcBorders>
            <w:tcMar>
              <w:top w:type="dxa" w:w="60"/>
              <w:left w:type="dxa" w:w="0"/>
              <w:bottom w:type="dxa" w:w="60"/>
              <w:right w:type="dxa" w:w="12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Activités planifiées</w:t>
            </w:r>
          </w:p>
        </w:tc>
        <w:tc>
          <w:tcPr>
            <w:tcW w:type="dxa" w:w="4413"/>
            <w:tcBorders>
              <w:top w:val="none"/>
              <w:left w:val="none"/>
              <w:bottom w:val="none"/>
              <w:right w:val="none"/>
            </w:tcBorders>
            <w:tcMar>
              <w:top w:type="dxa" w:w="60"/>
              <w:left w:type="dxa" w:w="120"/>
              <w:bottom w:type="dxa" w:w="60"/>
              <w:right w:type="dxa" w:w="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Changement de lieu/étape</w:t>
            </w:r>
          </w:p>
        </w:tc>
      </w:tr>
      <w:tr>
        <w:tc>
          <w:tcPr>
            <w:tcW w:type="dxa" w:w="4413"/>
            <w:tcBorders>
              <w:top w:val="none"/>
              <w:left w:val="none"/>
              <w:bottom w:val="none"/>
              <w:right w:val="none"/>
            </w:tcBorders>
            <w:tcMar>
              <w:top w:type="dxa" w:w="60"/>
              <w:left w:type="dxa" w:w="0"/>
              <w:bottom w:type="dxa" w:w="60"/>
              <w:right w:type="dxa" w:w="12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Sessions (demi-journée)</w:t>
            </w:r>
          </w:p>
        </w:tc>
        <w:tc>
          <w:tcPr>
            <w:tcW w:type="dxa" w:w="4413"/>
            <w:tcBorders>
              <w:top w:val="none"/>
              <w:left w:val="none"/>
              <w:bottom w:val="none"/>
              <w:right w:val="none"/>
            </w:tcBorders>
            <w:tcMar>
              <w:top w:type="dxa" w:w="60"/>
              <w:left w:type="dxa" w:w="120"/>
              <w:bottom w:type="dxa" w:w="60"/>
              <w:right w:type="dxa" w:w="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Coût estimé de la journée</w:t>
            </w:r>
          </w:p>
        </w:tc>
      </w:tr>
      <w:tr>
        <w:tc>
          <w:tcPr>
            <w:tcW w:type="dxa" w:w="4413"/>
            <w:tcBorders>
              <w:top w:val="none"/>
              <w:left w:val="none"/>
              <w:bottom w:val="none"/>
              <w:right w:val="none"/>
            </w:tcBorders>
            <w:tcMar>
              <w:top w:type="dxa" w:w="60"/>
              <w:left w:type="dxa" w:w="0"/>
              <w:bottom w:type="dxa" w:w="60"/>
              <w:right w:type="dxa" w:w="12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Moyen de transport local</w:t>
            </w:r>
          </w:p>
        </w:tc>
        <w:tc>
          <w:tcPr>
            <w:tcW w:type="dxa" w:w="4413"/>
            <w:tcBorders>
              <w:top w:val="none"/>
              <w:left w:val="none"/>
              <w:bottom w:val="none"/>
              <w:right w:val="none"/>
            </w:tcBorders>
            <w:tcMar>
              <w:top w:type="dxa" w:w="60"/>
              <w:left w:type="dxa" w:w="120"/>
              <w:bottom w:type="dxa" w:w="60"/>
              <w:right w:type="dxa" w:w="0"/>
            </w:tcMar>
          </w:tcPr>
          <w:p>
            <w:r>
              <w:rPr>
                <w:rFonts w:ascii="Arial" w:cs="Arial" w:eastAsia="Arial" w:hAnsi="Arial"/>
                <w:b/>
                <w:bCs/>
                <w:color w:val="2E9CCA"/>
                <w:sz w:val="20"/>
                <w:szCs w:val="20"/>
              </w:rPr>
              <w:t xml:space="preserve">✦ </w:t>
            </w:r>
            <w:r>
              <w:rPr>
                <w:rFonts w:ascii="Arial" w:cs="Arial" w:eastAsia="Arial" w:hAnsi="Arial"/>
                <w:color w:val="1A1A2E"/>
                <w:sz w:val="20"/>
                <w:szCs w:val="20"/>
              </w:rPr>
              <w:t xml:space="preserve">Nombre d'éléments planifiés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F5A623" w:val="clear"/>
            <w:tcMar>
              <w:top w:type="dxa" w:w="120"/>
              <w:left w:type="dxa" w:w="120"/>
              <w:bottom w:type="dxa" w:w="120"/>
              <w:right w:type="dxa" w:w="80"/>
            </w:tcMar>
            <w:vAlign w:val="center"/>
          </w:tcPr>
          <w:p>
            <w:pPr>
              <w:jc w:val="center"/>
            </w:pPr>
            <w:r>
              <w:rPr>
                <w:rFonts w:ascii="Segoe UI Emoji" w:cs="Segoe UI Emoji" w:eastAsia="Segoe UI Emoji" w:hAnsi="Segoe UI Emoji"/>
                <w:sz w:val="24"/>
                <w:szCs w:val="24"/>
              </w:rPr>
              <w:t xml:space="preserve">💡</w:t>
            </w:r>
          </w:p>
        </w:tc>
        <w:tc>
          <w:tcPr>
            <w:tcBorders>
              <w:top w:val="single" w:color="F5A623" w:sz="1"/>
              <w:left w:val="none"/>
              <w:bottom w:val="single" w:color="F5A623" w:sz="1"/>
              <w:right w:val="single" w:color="F5A623" w:sz="1"/>
            </w:tcBorders>
            <w:shd w:fill="FEF9EE" w:val="clear"/>
            <w:tcMar>
              <w:top w:type="dxa" w:w="100"/>
              <w:left w:type="dxa" w:w="160"/>
              <w:bottom w:type="dxa" w:w="100"/>
              <w:right w:type="dxa" w:w="160"/>
            </w:tcMar>
          </w:tcPr>
          <w:p>
            <w:r>
              <w:rPr>
                <w:rFonts w:ascii="Arial" w:cs="Arial" w:eastAsia="Arial" w:hAnsi="Arial"/>
                <w:b/>
                <w:bCs/>
                <w:color w:val="F5A623"/>
                <w:sz w:val="20"/>
                <w:szCs w:val="20"/>
              </w:rPr>
              <w:t xml:space="preserve">Note UX — </w:t>
            </w:r>
            <w:r>
              <w:rPr>
                <w:rFonts w:ascii="Arial" w:cs="Arial" w:eastAsia="Arial" w:hAnsi="Arial"/>
                <w:color w:val="1A1A2E"/>
                <w:sz w:val="20"/>
                <w:szCs w:val="20"/>
              </w:rPr>
              <w:t xml:space="preserve">La vue en colonnes par jour est le format le plus intuitif pour la planification de voyage. Elle permet de visualiser la densité du planning, d'identifier les journées surchargées et de garder une vue globale du séjour sans se perdre dans les détails. Le fond paysage persistant maintient l'immersion tout au long de la planification.</w:t>
            </w:r>
          </w:p>
        </w:tc>
      </w:tr>
    </w:tbl>
    <w:p>
      <w:pPr>
        <w:spacing w:after="0" w:before="160"/>
      </w:pPr>
      <w:r>
        <w:t xml:space="preserve"/>
      </w:r>
    </w:p>
    <w:p>
      <w:pPr>
        <w:pBdr>
          <w:bottom w:val="single" w:color="D0E8F5" w:sz="2" w:space="1"/>
        </w:pBdr>
        <w:spacing w:after="200" w:before="200"/>
      </w:pPr>
      <w:r>
        <w:t xml:space="preserve"/>
      </w:r>
    </w:p>
    <w:p>
      <w:r>
        <w:br w:type="page"/>
      </w:r>
    </w:p>
    <w:p>
      <w:pPr>
        <w:pStyle w:val="Heading1"/>
        <w:pBdr>
          <w:bottom w:val="single" w:color="2E9CCA" w:sz="6" w:space="4"/>
        </w:pBdr>
        <w:spacing w:after="220" w:before="560"/>
      </w:pPr>
      <w:r>
        <w:rPr>
          <w:rFonts w:ascii="Arial" w:cs="Arial" w:eastAsia="Arial" w:hAnsi="Arial"/>
          <w:b/>
          <w:bCs/>
          <w:color w:val="1A5C8A"/>
          <w:sz w:val="38"/>
          <w:szCs w:val="38"/>
        </w:rPr>
        <w:t xml:space="preserve">Parcours utilisateur global</w:t>
      </w:r>
    </w:p>
    <w:p>
      <w:pPr>
        <w:spacing w:after="80" w:before="80"/>
      </w:pPr>
      <w:r>
        <w:rPr>
          <w:rFonts w:ascii="Arial" w:cs="Arial" w:eastAsia="Arial" w:hAnsi="Arial"/>
          <w:i w:val="false"/>
          <w:iCs w:val="false"/>
          <w:color w:val="1A1A2E"/>
          <w:sz w:val="22"/>
          <w:szCs w:val="22"/>
        </w:rPr>
        <w:t xml:space="preserve">Le parcours ci-dessous illustre l'enchaînement logique des écrans pour un utilisateur découvrant Voygo pour la première fois.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2400"/>
        <w:gridCol w:w="300"/>
        <w:gridCol w:w="2400"/>
        <w:gridCol w:w="300"/>
        <w:gridCol w:w="2400"/>
      </w:tblGrid>
      <w:tr>
        <w:tc>
          <w:tcPr>
            <w:tcW w:type="dxa" w:w="240"/>
            <w:tcBorders>
              <w:top w:val="none"/>
              <w:left w:val="none"/>
              <w:bottom w:val="none"/>
              <w:right w:val="none"/>
            </w:tcBorders>
            <w:shd w:fill="1A5C8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60"/>
            </w:tcMar>
          </w:tcPr>
          <w:p>
            <w:r>
              <w:rPr>
                <w:rFonts w:ascii="Arial" w:cs="Arial" w:eastAsia="Arial" w:hAnsi="Arial"/>
                <w:b/>
                <w:bCs/>
                <w:color w:val="1A5C8A"/>
                <w:sz w:val="22"/>
                <w:szCs w:val="22"/>
              </w:rPr>
              <w:t xml:space="preserve">Inscription</w:t>
            </w:r>
          </w:p>
          <w:p>
            <w:r>
              <w:rPr>
                <w:rFonts w:ascii="Arial" w:cs="Arial" w:eastAsia="Arial" w:hAnsi="Arial"/>
                <w:color w:val="4A5568"/>
                <w:sz w:val="20"/>
                <w:szCs w:val="20"/>
              </w:rPr>
              <w:t xml:space="preserve">Création de compte via email ou Google</w:t>
            </w:r>
          </w:p>
        </w:tc>
        <w:tc>
          <w:tcPr>
            <w:tcW w:type="dxa" w:w="300"/>
            <w:tcBorders>
              <w:top w:val="none"/>
              <w:left w:val="none"/>
              <w:bottom w:val="none"/>
              <w:right w:val="none"/>
            </w:tcBorders>
            <w:tcMar>
              <w:top w:type="dxa" w:w="80"/>
              <w:left w:type="dxa" w:w="80"/>
              <w:bottom w:type="dxa" w:w="80"/>
              <w:right w:type="dxa" w:w="80"/>
            </w:tcMar>
            <w:vAlign w:val="center"/>
          </w:tcPr>
          <w:p>
            <w:pPr>
              <w:jc w:val="center"/>
            </w:pPr>
            <w:r>
              <w:rPr>
                <w:rFonts w:ascii="Arial" w:cs="Arial" w:eastAsia="Arial" w:hAnsi="Arial"/>
                <w:b/>
                <w:bCs/>
                <w:color w:val="2E9CCA"/>
                <w:sz w:val="32"/>
                <w:szCs w:val="32"/>
              </w:rPr>
              <w:t xml:space="preserve">→</w:t>
            </w:r>
          </w:p>
        </w:tc>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60"/>
            </w:tcMar>
          </w:tcPr>
          <w:p>
            <w:r>
              <w:rPr>
                <w:rFonts w:ascii="Arial" w:cs="Arial" w:eastAsia="Arial" w:hAnsi="Arial"/>
                <w:b/>
                <w:bCs/>
                <w:color w:val="1A5C8A"/>
                <w:sz w:val="22"/>
                <w:szCs w:val="22"/>
              </w:rPr>
              <w:t xml:space="preserve">Tableau de bord</w:t>
            </w:r>
          </w:p>
          <w:p>
            <w:r>
              <w:rPr>
                <w:rFonts w:ascii="Arial" w:cs="Arial" w:eastAsia="Arial" w:hAnsi="Arial"/>
                <w:color w:val="4A5568"/>
                <w:sz w:val="20"/>
                <w:szCs w:val="20"/>
              </w:rPr>
              <w:t xml:space="preserve">Ajout transport, logement, activités</w:t>
            </w:r>
          </w:p>
        </w:tc>
        <w:tc>
          <w:tcPr>
            <w:tcW w:type="dxa" w:w="300"/>
            <w:tcBorders>
              <w:top w:val="none"/>
              <w:left w:val="none"/>
              <w:bottom w:val="none"/>
              <w:right w:val="none"/>
            </w:tcBorders>
            <w:tcMar>
              <w:top w:type="dxa" w:w="80"/>
              <w:left w:type="dxa" w:w="80"/>
              <w:bottom w:type="dxa" w:w="80"/>
              <w:right w:type="dxa" w:w="80"/>
            </w:tcMar>
            <w:vAlign w:val="center"/>
          </w:tcPr>
          <w:p>
            <w:pPr>
              <w:jc w:val="center"/>
            </w:pPr>
            <w:r>
              <w:rPr>
                <w:rFonts w:ascii="Arial" w:cs="Arial" w:eastAsia="Arial" w:hAnsi="Arial"/>
                <w:b/>
                <w:bCs/>
                <w:color w:val="2E9CCA"/>
                <w:sz w:val="32"/>
                <w:szCs w:val="32"/>
              </w:rPr>
              <w:t xml:space="preserve">→</w:t>
            </w:r>
          </w:p>
        </w:tc>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60"/>
            </w:tcMar>
          </w:tcPr>
          <w:p>
            <w:r>
              <w:rPr>
                <w:rFonts w:ascii="Arial" w:cs="Arial" w:eastAsia="Arial" w:hAnsi="Arial"/>
                <w:b/>
                <w:bCs/>
                <w:color w:val="1A5C8A"/>
                <w:sz w:val="22"/>
                <w:szCs w:val="22"/>
              </w:rPr>
              <w:t xml:space="preserve">Agenda</w:t>
            </w:r>
          </w:p>
          <w:p>
            <w:r>
              <w:rPr>
                <w:rFonts w:ascii="Arial" w:cs="Arial" w:eastAsia="Arial" w:hAnsi="Arial"/>
                <w:color w:val="4A5568"/>
                <w:sz w:val="20"/>
                <w:szCs w:val="20"/>
              </w:rPr>
              <w:t xml:space="preserve">Vue détaillée jour par jour du voyage</w:t>
            </w:r>
          </w:p>
        </w:tc>
      </w:tr>
    </w:tbl>
    <w:p>
      <w:pPr>
        <w:spacing w:after="0" w:before="200"/>
      </w:pPr>
      <w:r>
        <w:t xml:space="preserve"/>
      </w:r>
    </w:p>
    <w:p>
      <w:pPr>
        <w:pStyle w:val="Heading2"/>
        <w:spacing w:after="140" w:before="320"/>
      </w:pPr>
      <w:r>
        <w:rPr>
          <w:rFonts w:ascii="Arial" w:cs="Arial" w:eastAsia="Arial" w:hAnsi="Arial"/>
          <w:b/>
          <w:bCs/>
          <w:color w:val="1A5C8A"/>
          <w:sz w:val="28"/>
          <w:szCs w:val="28"/>
        </w:rPr>
        <w:t xml:space="preserve">Points forts de l'expérience</w:t>
      </w:r>
    </w:p>
    <w:p>
      <w:pPr>
        <w:pStyle w:val="ListParagraph"/>
        <w:numPr>
          <w:ilvl w:val="0"/>
          <w:numId w:val="2"/>
        </w:numPr>
        <w:spacing w:after="60" w:before="60"/>
      </w:pPr>
      <w:r>
        <w:rPr>
          <w:rFonts w:ascii="Arial" w:cs="Arial" w:eastAsia="Arial" w:hAnsi="Arial"/>
          <w:color w:val="1A1A2E"/>
          <w:sz w:val="22"/>
          <w:szCs w:val="22"/>
        </w:rPr>
        <w:t xml:space="preserve">Onboarding sans friction — inscription en 2 clics via Google</w:t>
      </w:r>
    </w:p>
    <w:p>
      <w:pPr>
        <w:pStyle w:val="ListParagraph"/>
        <w:numPr>
          <w:ilvl w:val="0"/>
          <w:numId w:val="2"/>
        </w:numPr>
        <w:spacing w:after="60" w:before="60"/>
      </w:pPr>
      <w:r>
        <w:rPr>
          <w:rFonts w:ascii="Arial" w:cs="Arial" w:eastAsia="Arial" w:hAnsi="Arial"/>
          <w:color w:val="1A1A2E"/>
          <w:sz w:val="22"/>
          <w:szCs w:val="22"/>
        </w:rPr>
        <w:t xml:space="preserve">Zéro page blanche — les suggestions d'activités guident l'utilisateur dès le premier voyage</w:t>
      </w:r>
    </w:p>
    <w:p>
      <w:pPr>
        <w:pStyle w:val="ListParagraph"/>
        <w:numPr>
          <w:ilvl w:val="0"/>
          <w:numId w:val="2"/>
        </w:numPr>
        <w:spacing w:after="60" w:before="60"/>
      </w:pPr>
      <w:r>
        <w:rPr>
          <w:rFonts w:ascii="Arial" w:cs="Arial" w:eastAsia="Arial" w:hAnsi="Arial"/>
          <w:color w:val="1A1A2E"/>
          <w:sz w:val="22"/>
          <w:szCs w:val="22"/>
        </w:rPr>
        <w:t xml:space="preserve">Cohérence visuelle totale entre les écrans (fond, navigation, palette)</w:t>
      </w:r>
    </w:p>
    <w:p>
      <w:pPr>
        <w:pStyle w:val="ListParagraph"/>
        <w:numPr>
          <w:ilvl w:val="0"/>
          <w:numId w:val="2"/>
        </w:numPr>
        <w:spacing w:after="60" w:before="60"/>
      </w:pPr>
      <w:r>
        <w:rPr>
          <w:rFonts w:ascii="Arial" w:cs="Arial" w:eastAsia="Arial" w:hAnsi="Arial"/>
          <w:color w:val="1A1A2E"/>
          <w:sz w:val="22"/>
          <w:szCs w:val="22"/>
        </w:rPr>
        <w:t xml:space="preserve">Partage facilité — bouton "Partager" persistant sur tous les écrans</w:t>
      </w:r>
    </w:p>
    <w:p>
      <w:pPr>
        <w:pStyle w:val="ListParagraph"/>
        <w:numPr>
          <w:ilvl w:val="0"/>
          <w:numId w:val="2"/>
        </w:numPr>
        <w:spacing w:after="60" w:before="60"/>
      </w:pPr>
      <w:r>
        <w:rPr>
          <w:rFonts w:ascii="Arial" w:cs="Arial" w:eastAsia="Arial" w:hAnsi="Arial"/>
          <w:color w:val="1A1A2E"/>
          <w:sz w:val="22"/>
          <w:szCs w:val="22"/>
        </w:rPr>
        <w:t xml:space="preserve">Progressivité — les cartes vides laissent place au contenu au fil des ajouts</w:t>
      </w:r>
    </w:p>
    <w:p>
      <w:pPr>
        <w:spacing w:after="0" w:before="160"/>
      </w:pPr>
      <w:r>
        <w:t xml:space="preserve"/>
      </w:r>
    </w:p>
    <w:p>
      <w:pPr>
        <w:pStyle w:val="Heading2"/>
        <w:spacing w:after="140" w:before="320"/>
      </w:pPr>
      <w:r>
        <w:rPr>
          <w:rFonts w:ascii="Arial" w:cs="Arial" w:eastAsia="Arial" w:hAnsi="Arial"/>
          <w:b/>
          <w:bCs/>
          <w:color w:val="1A5C8A"/>
          <w:sz w:val="28"/>
          <w:szCs w:val="28"/>
        </w:rPr>
        <w:t xml:space="preserve">Prochains écrans à maquetter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Carte interactive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Visualisation géographique des étapes et itinéraire sur carte Leaflet</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Suivi budgétaire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Vue camembert + lignes de dépenses par catégorie (onglet Prix)</w:t>
            </w:r>
          </w:p>
        </w:tc>
      </w:tr>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Profil utilisateur</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Paramètres, changement d'email, suppression de compte</w:t>
            </w:r>
          </w:p>
        </w:tc>
      </w:tr>
      <w:tr>
        <w:tc>
          <w:tcPr>
            <w:tcW w:type="dxa" w:w="24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Exploration activités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Galerie de suggestions filtrables par thème (monuments, nature, culture…)</w:t>
            </w:r>
          </w:p>
        </w:tc>
      </w:tr>
      <w:tr>
        <w:tc>
          <w:tcPr>
            <w:tcW w:type="dxa" w:w="24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Export PDF</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Aperçu du document exportable avant téléchargement</w:t>
            </w:r>
          </w:p>
        </w:tc>
      </w:tr>
    </w:tbl>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9CCA" w:sz="4" w:space="4"/>
      </w:pBdr>
      <w:tabs>
        <w:tab w:val="right" w:pos="9026"/>
      </w:tabs>
      <w:spacing w:after="0" w:before="100"/>
    </w:pPr>
    <w:r>
      <w:rPr>
        <w:rFonts w:ascii="Arial" w:cs="Arial" w:eastAsia="Arial" w:hAnsi="Arial"/>
        <w:color w:val="4A5568"/>
        <w:sz w:val="16"/>
        <w:szCs w:val="16"/>
      </w:rPr>
      <w:t xml:space="preserve">Document confidentiel — 2026</w:t>
    </w:r>
    <w:r>
      <w:rPr>
        <w:rFonts w:ascii="Arial" w:cs="Arial" w:eastAsia="Arial" w:hAnsi="Arial"/>
        <w:color w:val="2E9CCA"/>
        <w:sz w:val="16"/>
        <w:szCs w:val="16"/>
      </w:rPr>
      <w:t xml:space="preserve">	voygo.app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9CCA" w:sz="4" w:space="4"/>
      </w:pBdr>
      <w:spacing w:after="100" w:before="0"/>
    </w:pPr>
    <w:r>
      <w:rPr>
        <w:rFonts w:ascii="Arial" w:cs="Arial" w:eastAsia="Arial" w:hAnsi="Arial"/>
        <w:b/>
        <w:bCs/>
        <w:color w:val="1A5C8A"/>
        <w:sz w:val="18"/>
        <w:szCs w:val="18"/>
      </w:rPr>
      <w:t xml:space="preserve">VOYGO</w:t>
    </w:r>
    <w:r>
      <w:rPr>
        <w:rFonts w:ascii="Arial" w:cs="Arial" w:eastAsia="Arial" w:hAnsi="Arial"/>
        <w:color w:val="4A5568"/>
        <w:sz w:val="18"/>
        <w:szCs w:val="18"/>
      </w:rPr>
      <w:t xml:space="preserve">  —  Présentation Maquette UI/UX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Arial" w:cs="Arial" w:eastAsia="Arial" w:hAnsi="Arial"/>
      <w:b/>
      <w:bCs/>
      <w:color w:val="1A5C8A"/>
      <w:sz w:val="38"/>
      <w:szCs w:val="38"/>
    </w:rPr>
  </w:style>
  <w:style w:type="paragraph" w:styleId="Heading2">
    <w:name w:val="Heading 2"/>
    <w:basedOn w:val="Normal"/>
    <w:next w:val="Normal"/>
    <w:qFormat/>
    <w:pPr>
      <w:spacing w:after="140" w:before="320"/>
      <w:outlineLvl w:val="1"/>
    </w:pPr>
    <w:rPr>
      <w:rFonts w:ascii="Arial" w:cs="Arial" w:eastAsia="Arial" w:hAnsi="Arial"/>
      <w:b/>
      <w:bCs/>
      <w:color w:val="1A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a90c5ddd4025d9aa583103f409e4620a3c94de.png"/><Relationship Id="rId10" Type="http://schemas.openxmlformats.org/officeDocument/2006/relationships/image" Target="media/58e5019330f14d83755346f5809cad83459682b0.png"/><Relationship Id="rId11" Type="http://schemas.openxmlformats.org/officeDocument/2006/relationships/image" Target="media/649afb3d5e6a8b8fcc2785b15c6694b35b475c1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2026-04-03T07:07:05.713Z</dcterms:created>
  <dcterms:modified xsi:type="dcterms:W3CDTF">2026-04-03T07:07:05.714Z</dcterms:modified>
</cp:coreProperties>
</file>

<file path=docProps/custom.xml><?xml version="1.0" encoding="utf-8"?>
<Properties xmlns="http://schemas.openxmlformats.org/officeDocument/2006/custom-properties" xmlns:vt="http://schemas.openxmlformats.org/officeDocument/2006/docPropsVTypes"/>
</file>