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8B6" w:rsidRPr="00287E0D" w:rsidRDefault="000E08B6" w:rsidP="000E08B6">
      <w:pPr>
        <w:pStyle w:val="a3"/>
        <w:spacing w:before="0" w:beforeAutospacing="0" w:after="0" w:afterAutospacing="0" w:line="360" w:lineRule="atLeast"/>
        <w:rPr>
          <w:rStyle w:val="a4"/>
          <w:rFonts w:ascii="宋体" w:eastAsia="宋体" w:hAnsi="宋体"/>
          <w:b w:val="0"/>
          <w:color w:val="000000"/>
          <w:sz w:val="28"/>
          <w:szCs w:val="21"/>
        </w:rPr>
      </w:pPr>
      <w:r w:rsidRPr="000E08B6">
        <w:rPr>
          <w:rFonts w:ascii="宋体" w:eastAsia="宋体" w:hAnsi="宋体" w:hint="eastAsia"/>
          <w:color w:val="000000"/>
          <w:szCs w:val="21"/>
        </w:rPr>
        <w:t xml:space="preserve">                           </w:t>
      </w:r>
      <w:r w:rsidRPr="000E08B6">
        <w:rPr>
          <w:rFonts w:ascii="宋体" w:eastAsia="宋体" w:hAnsi="宋体"/>
          <w:color w:val="000000"/>
          <w:szCs w:val="21"/>
        </w:rPr>
        <w:t xml:space="preserve"> </w:t>
      </w:r>
      <w:r w:rsidRPr="00287E0D">
        <w:rPr>
          <w:rFonts w:ascii="宋体" w:eastAsia="宋体" w:hAnsi="宋体" w:hint="eastAsia"/>
          <w:color w:val="000000"/>
          <w:sz w:val="28"/>
          <w:szCs w:val="21"/>
        </w:rPr>
        <w:t>财政金融小论文</w:t>
      </w:r>
    </w:p>
    <w:p w:rsidR="0071769B" w:rsidRPr="000E08B6" w:rsidRDefault="0071769B" w:rsidP="000E08B6">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当前我国经济形势是长期和短期、内部和外部等因素共同作用的结果。</w:t>
      </w:r>
      <w:r w:rsidRPr="000E08B6">
        <w:rPr>
          <w:rFonts w:ascii="宋体" w:eastAsia="宋体" w:hAnsi="宋体" w:hint="eastAsia"/>
          <w:color w:val="000000"/>
          <w:sz w:val="21"/>
          <w:szCs w:val="21"/>
        </w:rPr>
        <w:t>长期来看，我国经济经历了自改革开放以来的高速增长后，以劳动密集型为主的经济增长方式在面临老龄化加剧、人口红利扭转等问题前难以为继；而经济发展方式转型过程中又面临阵痛、短期下行压力较大。金融危机后的两轮加杠杆过程后，我国全社会债务存量增长快速、杠杆率水平高企、债务风险累积；而始于2016年的货币、财政和监管的“三紧”格局以图</w:t>
      </w:r>
      <w:hyperlink r:id="rId4" w:history="1">
        <w:r w:rsidRPr="000E08B6">
          <w:rPr>
            <w:rStyle w:val="a5"/>
            <w:rFonts w:ascii="宋体" w:eastAsia="宋体" w:hAnsi="宋体" w:hint="eastAsia"/>
            <w:color w:val="auto"/>
            <w:sz w:val="21"/>
            <w:szCs w:val="21"/>
            <w:u w:val="none"/>
          </w:rPr>
          <w:t>供给</w:t>
        </w:r>
        <w:proofErr w:type="gramStart"/>
        <w:r w:rsidRPr="000E08B6">
          <w:rPr>
            <w:rStyle w:val="a5"/>
            <w:rFonts w:ascii="宋体" w:eastAsia="宋体" w:hAnsi="宋体" w:hint="eastAsia"/>
            <w:color w:val="auto"/>
            <w:sz w:val="21"/>
            <w:szCs w:val="21"/>
            <w:u w:val="none"/>
          </w:rPr>
          <w:t>侧改革</w:t>
        </w:r>
        <w:proofErr w:type="gramEnd"/>
      </w:hyperlink>
      <w:r w:rsidRPr="000E08B6">
        <w:rPr>
          <w:rFonts w:ascii="宋体" w:eastAsia="宋体" w:hAnsi="宋体" w:hint="eastAsia"/>
          <w:color w:val="000000"/>
          <w:sz w:val="21"/>
          <w:szCs w:val="21"/>
        </w:rPr>
        <w:t>和去杠杆，债务收缩带来资产价格下跌、经济下行压力加大。于此同时，海外主要发达经济体危机后的超宽松货币政策逐步走向尾声，海外货币政策正常化过程与内部经济下行需要的宽松环境分化，加之中美贸易摩擦生变，内外部矛盾凸显。</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从流动性总量上看，今年以来流动性缺口有所收窄，主要归功于宽松货币政策下降准和MLF的大额投放。</w:t>
      </w:r>
      <w:r w:rsidRPr="000E08B6">
        <w:rPr>
          <w:rFonts w:ascii="宋体" w:eastAsia="宋体" w:hAnsi="宋体" w:hint="eastAsia"/>
          <w:color w:val="000000"/>
          <w:sz w:val="21"/>
          <w:szCs w:val="21"/>
        </w:rPr>
        <w:t>2017年以来货币政策的收紧和流动性投放力度的减弱导致流动性缺口的逐步走阔，缺口大小从2017年初的1.5万亿快速扩张至2017年底的</w:t>
      </w:r>
      <w:proofErr w:type="gramStart"/>
      <w:r w:rsidRPr="000E08B6">
        <w:rPr>
          <w:rFonts w:ascii="宋体" w:eastAsia="宋体" w:hAnsi="宋体" w:hint="eastAsia"/>
          <w:color w:val="000000"/>
          <w:sz w:val="21"/>
          <w:szCs w:val="21"/>
        </w:rPr>
        <w:t>2.5万亿左右。随着</w:t>
      </w:r>
      <w:proofErr w:type="gramEnd"/>
      <w:r w:rsidRPr="000E08B6">
        <w:rPr>
          <w:rFonts w:ascii="宋体" w:eastAsia="宋体" w:hAnsi="宋体" w:hint="eastAsia"/>
          <w:color w:val="000000"/>
          <w:sz w:val="21"/>
          <w:szCs w:val="21"/>
        </w:rPr>
        <w:t>2018年以来货币政策的逐步宽松，截至2018年9月流动性缺口已经下降到2.2万亿左右。</w:t>
      </w:r>
      <w:r w:rsidRPr="000E08B6">
        <w:rPr>
          <w:rStyle w:val="a4"/>
          <w:rFonts w:ascii="宋体" w:eastAsia="宋体" w:hAnsi="宋体" w:hint="eastAsia"/>
          <w:b w:val="0"/>
          <w:color w:val="000000"/>
          <w:sz w:val="21"/>
          <w:szCs w:val="21"/>
        </w:rPr>
        <w:t>流动性缺口的收窄反映了流动性环境的舒缓，也说明了货币政策取向的转松。</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M2增速企稳而社融增速仍然下滑，宽货币向宽信用传导存在时滞。</w:t>
      </w:r>
      <w:r w:rsidRPr="000E08B6">
        <w:rPr>
          <w:rFonts w:ascii="宋体" w:eastAsia="宋体" w:hAnsi="宋体" w:hint="eastAsia"/>
          <w:color w:val="000000"/>
          <w:sz w:val="21"/>
          <w:szCs w:val="21"/>
        </w:rPr>
        <w:t>随着货币政策进入2018年以来转松后，货币供应量M2增速结束了2017年的快速下滑趋势而逐步企稳，下半年以来甚至出现回暖势头。但货币宽松后信用扩张却未能迅速好转。以社融增速为代表的信用资产端修复却始终未见起色，社融增速从2018年初的13%左右持续下滑至10%上下。宽货币向宽信用的传导受阻。</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当前仍处于紧信用环境。</w:t>
      </w:r>
      <w:r w:rsidRPr="000E08B6">
        <w:rPr>
          <w:rFonts w:ascii="宋体" w:eastAsia="宋体" w:hAnsi="宋体" w:hint="eastAsia"/>
          <w:color w:val="000000"/>
          <w:sz w:val="21"/>
          <w:szCs w:val="21"/>
        </w:rPr>
        <w:t>2015年12月至2017年8月信用环境处于偏松状态，2017年9月至今信用逐步转为偏紧状态。2016年起的金融去杠杆先驱动金融体系负债收缩，实体经济固然会受到影响，但负债端收缩带动资产端收缩需要时间，影响力度也是逐步传导的过程，前期M2增速下降主要原因是通过资管通道、结构化产品的金融空转杠杆部分受遏制，社融增速并未受明显影响，因而信用环境并未明显收缩。2017年9月至今，前期紧货币逐步传导至信用，社融增速下降快于M2增速，</w:t>
      </w:r>
      <w:hyperlink r:id="rId5" w:history="1">
        <w:r w:rsidRPr="000E08B6">
          <w:rPr>
            <w:rStyle w:val="a5"/>
            <w:rFonts w:ascii="宋体" w:eastAsia="宋体" w:hAnsi="宋体" w:hint="eastAsia"/>
            <w:color w:val="05529A"/>
            <w:sz w:val="21"/>
            <w:szCs w:val="21"/>
          </w:rPr>
          <w:t>股票市场</w:t>
        </w:r>
      </w:hyperlink>
      <w:r w:rsidRPr="000E08B6">
        <w:rPr>
          <w:rFonts w:ascii="宋体" w:eastAsia="宋体" w:hAnsi="宋体" w:hint="eastAsia"/>
          <w:color w:val="000000"/>
          <w:sz w:val="21"/>
          <w:szCs w:val="21"/>
        </w:rPr>
        <w:t>质押融资遇到风险、中小企业面临</w:t>
      </w:r>
      <w:hyperlink r:id="rId6" w:history="1">
        <w:r w:rsidRPr="000E08B6">
          <w:rPr>
            <w:rStyle w:val="a5"/>
            <w:rFonts w:ascii="宋体" w:eastAsia="宋体" w:hAnsi="宋体" w:hint="eastAsia"/>
            <w:color w:val="05529A"/>
            <w:sz w:val="21"/>
            <w:szCs w:val="21"/>
          </w:rPr>
          <w:t>再融资</w:t>
        </w:r>
      </w:hyperlink>
      <w:r w:rsidRPr="000E08B6">
        <w:rPr>
          <w:rFonts w:ascii="宋体" w:eastAsia="宋体" w:hAnsi="宋体" w:hint="eastAsia"/>
          <w:color w:val="000000"/>
          <w:sz w:val="21"/>
          <w:szCs w:val="21"/>
        </w:rPr>
        <w:t>难题、违约事件屡发，“紧信用”非虚言。</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proofErr w:type="gramStart"/>
      <w:r w:rsidRPr="000E08B6">
        <w:rPr>
          <w:rStyle w:val="a4"/>
          <w:rFonts w:ascii="宋体" w:eastAsia="宋体" w:hAnsi="宋体" w:hint="eastAsia"/>
          <w:b w:val="0"/>
          <w:color w:val="000000"/>
          <w:sz w:val="21"/>
          <w:szCs w:val="21"/>
        </w:rPr>
        <w:t>宽货币</w:t>
      </w:r>
      <w:proofErr w:type="gramEnd"/>
      <w:r w:rsidRPr="000E08B6">
        <w:rPr>
          <w:rStyle w:val="a4"/>
          <w:rFonts w:ascii="宋体" w:eastAsia="宋体" w:hAnsi="宋体" w:hint="eastAsia"/>
          <w:b w:val="0"/>
          <w:color w:val="000000"/>
          <w:sz w:val="21"/>
          <w:szCs w:val="21"/>
        </w:rPr>
        <w:t>与紧信用矛盾下，促进信用扩张是货币政策目标之一。</w:t>
      </w:r>
      <w:r w:rsidRPr="000E08B6">
        <w:rPr>
          <w:rFonts w:ascii="宋体" w:eastAsia="宋体" w:hAnsi="宋体" w:hint="eastAsia"/>
          <w:color w:val="000000"/>
          <w:sz w:val="21"/>
          <w:szCs w:val="21"/>
        </w:rPr>
        <w:t>对于前三季度的货币政策实践，虽然从货币政策操作上看，四次降准、MLF投放等都显示出货币政策的 “形式宽松”，但信用扩张的持续乏力的矛盾也逐步显现。货币政策转向宽松后，信用环境却并未随着货币宽松如期扩张，社会融资规模增速持续下滑，其中表外融资急剧收缩最为显著，信用风险事件频发、中小企业融资难如切肤之痛。在货币政策已然宽松的环境下，货币政策的传导和信用扩张是下一阶段的主要目标。</w:t>
      </w: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p>
    <w:p w:rsidR="0071769B" w:rsidRPr="000E08B6" w:rsidRDefault="0071769B" w:rsidP="000E08B6">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去杠杆和债务处置引导债务周期。</w:t>
      </w:r>
      <w:r w:rsidRPr="000E08B6">
        <w:rPr>
          <w:rFonts w:ascii="宋体" w:eastAsia="宋体" w:hAnsi="宋体" w:hint="eastAsia"/>
          <w:color w:val="000000"/>
          <w:sz w:val="21"/>
          <w:szCs w:val="21"/>
        </w:rPr>
        <w:t>2016年底以来的去杠杆政策意在遏制社会债务规模攀升、实体经济杠杆率高企趋势，历时一年多货币+财政+</w:t>
      </w:r>
      <w:proofErr w:type="gramStart"/>
      <w:r w:rsidRPr="000E08B6">
        <w:rPr>
          <w:rFonts w:ascii="宋体" w:eastAsia="宋体" w:hAnsi="宋体" w:hint="eastAsia"/>
          <w:color w:val="000000"/>
          <w:sz w:val="21"/>
          <w:szCs w:val="21"/>
        </w:rPr>
        <w:t>监管“</w:t>
      </w:r>
      <w:proofErr w:type="gramEnd"/>
      <w:r w:rsidRPr="000E08B6">
        <w:rPr>
          <w:rFonts w:ascii="宋体" w:eastAsia="宋体" w:hAnsi="宋体" w:hint="eastAsia"/>
          <w:color w:val="000000"/>
          <w:sz w:val="21"/>
          <w:szCs w:val="21"/>
        </w:rPr>
        <w:t>三紧”的金融条件收缩和债务处置意图引导债务</w:t>
      </w:r>
      <w:r w:rsidRPr="000E08B6">
        <w:rPr>
          <w:rFonts w:ascii="宋体" w:eastAsia="宋体" w:hAnsi="宋体" w:hint="eastAsia"/>
          <w:color w:val="000000"/>
          <w:sz w:val="21"/>
          <w:szCs w:val="21"/>
        </w:rPr>
        <w:lastRenderedPageBreak/>
        <w:t>周期向下运行。从效果上来看，全社会债务规模增速和宏观杠杆率得到有效控制。供给侧改革带动非金融企业杠杆率显著下降，中央政府杠杆率稳中有降，居民部门杠杆率继续抬升，全社会杠杆率企稳。社科院最新统计数据传递出杠杆企稳信号，2018年2季度末，全社会杠杆率由2017年末的242.1%增加到242.7%，仅上升了0.6个百分点，基本保持稳定。</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Pr="000E08B6" w:rsidRDefault="0071769B" w:rsidP="000E08B6">
      <w:pPr>
        <w:pStyle w:val="a3"/>
        <w:spacing w:before="0" w:beforeAutospacing="0" w:after="0" w:afterAutospacing="0" w:line="360" w:lineRule="atLeast"/>
        <w:ind w:firstLine="420"/>
        <w:rPr>
          <w:rFonts w:ascii="宋体" w:eastAsia="宋体" w:hAnsi="宋体"/>
          <w:color w:val="000000"/>
          <w:sz w:val="21"/>
          <w:szCs w:val="21"/>
        </w:rPr>
      </w:pPr>
      <w:r w:rsidRPr="000E08B6">
        <w:rPr>
          <w:rStyle w:val="a4"/>
          <w:rFonts w:ascii="宋体" w:eastAsia="宋体" w:hAnsi="宋体" w:hint="eastAsia"/>
          <w:b w:val="0"/>
          <w:color w:val="000000"/>
          <w:sz w:val="21"/>
          <w:szCs w:val="21"/>
        </w:rPr>
        <w:t>债务周期是以杠杆率为观测指标的社会债务杠杆的周期性变化规律，是经济运行、市场投融资活动等等的反映。</w:t>
      </w:r>
      <w:r w:rsidRPr="000E08B6">
        <w:rPr>
          <w:rFonts w:ascii="宋体" w:eastAsia="宋体" w:hAnsi="宋体" w:hint="eastAsia"/>
          <w:color w:val="000000"/>
          <w:sz w:val="21"/>
          <w:szCs w:val="21"/>
        </w:rPr>
        <w:t>根据明斯基的杠杆周期理论，在经济繁荣时期将会有更多投机者进行更多的投机融资，一旦市场出现较为严重的“坏消息”改变了市场风险偏好，资产价格下跌将使得一部分投机者和投机资产的现金</w:t>
      </w:r>
      <w:proofErr w:type="gramStart"/>
      <w:r w:rsidRPr="000E08B6">
        <w:rPr>
          <w:rFonts w:ascii="宋体" w:eastAsia="宋体" w:hAnsi="宋体" w:hint="eastAsia"/>
          <w:color w:val="000000"/>
          <w:sz w:val="21"/>
          <w:szCs w:val="21"/>
        </w:rPr>
        <w:t>流无法</w:t>
      </w:r>
      <w:proofErr w:type="gramEnd"/>
      <w:r w:rsidRPr="000E08B6">
        <w:rPr>
          <w:rFonts w:ascii="宋体" w:eastAsia="宋体" w:hAnsi="宋体" w:hint="eastAsia"/>
          <w:color w:val="000000"/>
          <w:sz w:val="21"/>
          <w:szCs w:val="21"/>
        </w:rPr>
        <w:t>偿还债券到期利息，投机型融资者转变为庞氏融资者，必须出售资产以完成偿还义务。在资产价格下跌的市场中，投机资产很难脱手，投机者不得不出售信用更高资产，进一步拉</w:t>
      </w:r>
      <w:proofErr w:type="gramStart"/>
      <w:r w:rsidRPr="000E08B6">
        <w:rPr>
          <w:rFonts w:ascii="宋体" w:eastAsia="宋体" w:hAnsi="宋体" w:hint="eastAsia"/>
          <w:color w:val="000000"/>
          <w:sz w:val="21"/>
          <w:szCs w:val="21"/>
        </w:rPr>
        <w:t>低相关</w:t>
      </w:r>
      <w:proofErr w:type="gramEnd"/>
      <w:r w:rsidRPr="000E08B6">
        <w:rPr>
          <w:rFonts w:ascii="宋体" w:eastAsia="宋体" w:hAnsi="宋体" w:hint="eastAsia"/>
          <w:color w:val="000000"/>
          <w:sz w:val="21"/>
          <w:szCs w:val="21"/>
        </w:rPr>
        <w:t>资产价格，最终导致资产价格的全面下跌。在没有政策干预的情况下，繁荣时期整体杠杆水平上行并处于较高水平，衰退时期杠杆率下行至较低水平。</w:t>
      </w:r>
    </w:p>
    <w:p w:rsidR="000E08B6" w:rsidRPr="000E08B6" w:rsidRDefault="000E08B6" w:rsidP="000E08B6">
      <w:pPr>
        <w:pStyle w:val="a3"/>
        <w:spacing w:before="0" w:beforeAutospacing="0" w:after="0" w:afterAutospacing="0" w:line="360" w:lineRule="atLeast"/>
        <w:ind w:firstLine="420"/>
        <w:rPr>
          <w:rFonts w:ascii="宋体" w:eastAsia="宋体" w:hAnsi="宋体" w:hint="eastAsia"/>
          <w:color w:val="000000"/>
          <w:sz w:val="21"/>
          <w:szCs w:val="21"/>
        </w:rPr>
      </w:pPr>
    </w:p>
    <w:p w:rsidR="0071769B" w:rsidRPr="000E08B6" w:rsidRDefault="0071769B" w:rsidP="000E08B6">
      <w:pPr>
        <w:pStyle w:val="a3"/>
        <w:spacing w:before="0" w:beforeAutospacing="0" w:after="0" w:afterAutospacing="0" w:line="360" w:lineRule="atLeast"/>
        <w:ind w:firstLine="420"/>
        <w:rPr>
          <w:rFonts w:ascii="宋体" w:eastAsia="宋体" w:hAnsi="宋体"/>
          <w:color w:val="000000"/>
          <w:sz w:val="21"/>
          <w:szCs w:val="21"/>
        </w:rPr>
      </w:pPr>
      <w:r w:rsidRPr="000E08B6">
        <w:rPr>
          <w:rStyle w:val="a4"/>
          <w:rFonts w:ascii="宋体" w:eastAsia="宋体" w:hAnsi="宋体" w:hint="eastAsia"/>
          <w:b w:val="0"/>
          <w:color w:val="000000"/>
          <w:sz w:val="21"/>
          <w:szCs w:val="21"/>
        </w:rPr>
        <w:t>金融条件包括短期和长期两个方面。</w:t>
      </w:r>
      <w:r w:rsidRPr="000E08B6">
        <w:rPr>
          <w:rFonts w:ascii="宋体" w:eastAsia="宋体" w:hAnsi="宋体" w:hint="eastAsia"/>
          <w:color w:val="000000"/>
          <w:sz w:val="21"/>
          <w:szCs w:val="21"/>
        </w:rPr>
        <w:t>短期而言，监管政策对表外融资限制力度仍不减，债务结构变迁；长期来看，储蓄率的持续走低使得</w:t>
      </w:r>
      <w:hyperlink r:id="rId7" w:history="1">
        <w:r w:rsidRPr="000E08B6">
          <w:rPr>
            <w:rStyle w:val="a5"/>
            <w:rFonts w:ascii="宋体" w:eastAsia="宋体" w:hAnsi="宋体" w:hint="eastAsia"/>
            <w:color w:val="05529A"/>
            <w:sz w:val="21"/>
            <w:szCs w:val="21"/>
          </w:rPr>
          <w:t>银行信贷</w:t>
        </w:r>
      </w:hyperlink>
      <w:r w:rsidRPr="000E08B6">
        <w:rPr>
          <w:rFonts w:ascii="宋体" w:eastAsia="宋体" w:hAnsi="宋体" w:hint="eastAsia"/>
          <w:color w:val="000000"/>
          <w:sz w:val="21"/>
          <w:szCs w:val="21"/>
        </w:rPr>
        <w:t>间接融资渠道将逐步萎缩，债务周期下行。目前我国债务存量大，后续广义债务和隐性债务</w:t>
      </w:r>
      <w:proofErr w:type="gramStart"/>
      <w:r w:rsidRPr="000E08B6">
        <w:rPr>
          <w:rFonts w:ascii="宋体" w:eastAsia="宋体" w:hAnsi="宋体" w:hint="eastAsia"/>
          <w:color w:val="000000"/>
          <w:sz w:val="21"/>
          <w:szCs w:val="21"/>
        </w:rPr>
        <w:t>处置仍</w:t>
      </w:r>
      <w:proofErr w:type="gramEnd"/>
      <w:r w:rsidRPr="000E08B6">
        <w:rPr>
          <w:rFonts w:ascii="宋体" w:eastAsia="宋体" w:hAnsi="宋体" w:hint="eastAsia"/>
          <w:color w:val="000000"/>
          <w:sz w:val="21"/>
          <w:szCs w:val="21"/>
        </w:rPr>
        <w:t>将是政策的关注点；但经济下行压力和补短板需求则要求新增债务。债务处置过程中不断暴露的风险和经济波动之间存在矛盾，但债务高企、储蓄率走低酝酿的风险也不容忽视。</w:t>
      </w:r>
    </w:p>
    <w:p w:rsidR="000E08B6" w:rsidRPr="000E08B6" w:rsidRDefault="000E08B6" w:rsidP="000E08B6">
      <w:pPr>
        <w:pStyle w:val="a3"/>
        <w:spacing w:before="0" w:beforeAutospacing="0" w:after="0" w:afterAutospacing="0" w:line="360" w:lineRule="atLeast"/>
        <w:ind w:firstLine="420"/>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中美货币政策分化背后是经济周期的分化。</w:t>
      </w:r>
      <w:r w:rsidRPr="000E08B6">
        <w:rPr>
          <w:rFonts w:ascii="宋体" w:eastAsia="宋体" w:hAnsi="宋体" w:hint="eastAsia"/>
          <w:color w:val="000000"/>
          <w:sz w:val="21"/>
          <w:szCs w:val="21"/>
        </w:rPr>
        <w:t>进入1999年，我国经济增长遇冷，GDP增速有所下滑，央行</w:t>
      </w:r>
      <w:proofErr w:type="gramStart"/>
      <w:r w:rsidRPr="000E08B6">
        <w:rPr>
          <w:rFonts w:ascii="宋体" w:eastAsia="宋体" w:hAnsi="宋体" w:hint="eastAsia"/>
          <w:color w:val="000000"/>
          <w:sz w:val="21"/>
          <w:szCs w:val="21"/>
        </w:rPr>
        <w:t>采取降准和</w:t>
      </w:r>
      <w:proofErr w:type="gramEnd"/>
      <w:r w:rsidRPr="000E08B6">
        <w:rPr>
          <w:rFonts w:ascii="宋体" w:eastAsia="宋体" w:hAnsi="宋体" w:hint="eastAsia"/>
          <w:color w:val="000000"/>
          <w:sz w:val="21"/>
          <w:szCs w:val="21"/>
        </w:rPr>
        <w:t>下调存贷款准备金的方式进行货币宽松；于此同时，美国经济增长保持高位稳定运行，美联储开启一轮加息周期。2006年中到2008年年中，我国经济保持快速增长，于此同时美国经济增长动力羸弱，因而形成了美联储降息而央行提高准备金率和存贷款基准利率的分化。2010年~2015年，美国经济处于复苏前期，美联储维持零利率政策；于此同时，国内经济面临下行压力，货币政策左右逢源但并未遏制经济增长衰退的脚步。</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Default="0071769B" w:rsidP="000E08B6">
      <w:pPr>
        <w:pStyle w:val="a3"/>
        <w:spacing w:before="0" w:beforeAutospacing="0" w:after="0" w:afterAutospacing="0" w:line="360" w:lineRule="atLeast"/>
        <w:ind w:firstLine="420"/>
        <w:rPr>
          <w:rFonts w:ascii="宋体" w:eastAsia="宋体" w:hAnsi="宋体"/>
          <w:color w:val="000000"/>
          <w:sz w:val="21"/>
          <w:szCs w:val="21"/>
        </w:rPr>
      </w:pPr>
      <w:r w:rsidRPr="000E08B6">
        <w:rPr>
          <w:rFonts w:ascii="宋体" w:eastAsia="宋体" w:hAnsi="宋体" w:hint="eastAsia"/>
          <w:color w:val="000000"/>
          <w:sz w:val="21"/>
          <w:szCs w:val="21"/>
        </w:rPr>
        <w:t>以美国为主的发达经济体</w:t>
      </w:r>
      <w:proofErr w:type="gramStart"/>
      <w:r w:rsidRPr="000E08B6">
        <w:rPr>
          <w:rFonts w:ascii="宋体" w:eastAsia="宋体" w:hAnsi="宋体" w:hint="eastAsia"/>
          <w:color w:val="000000"/>
          <w:sz w:val="21"/>
          <w:szCs w:val="21"/>
        </w:rPr>
        <w:t>真经历</w:t>
      </w:r>
      <w:proofErr w:type="gramEnd"/>
      <w:r w:rsidRPr="000E08B6">
        <w:rPr>
          <w:rFonts w:ascii="宋体" w:eastAsia="宋体" w:hAnsi="宋体" w:hint="eastAsia"/>
          <w:color w:val="000000"/>
          <w:sz w:val="21"/>
          <w:szCs w:val="21"/>
        </w:rPr>
        <w:t>一轮货币政策收缩过程，美联储2019年继续加息3次的概率较大，中美市场利率倒挂和政策利率倒挂的可能性较大，从而造成人民币汇率的贬值压力和资金的外流。另一方面，经济下行压力的加大又要求货币政策营造宽松的货币金融环境。在传统三元悖论下，央行货币政策需考虑内外均衡。</w:t>
      </w:r>
    </w:p>
    <w:p w:rsidR="000E08B6" w:rsidRPr="000E08B6" w:rsidRDefault="000E08B6" w:rsidP="000E08B6">
      <w:pPr>
        <w:pStyle w:val="a3"/>
        <w:spacing w:before="0" w:beforeAutospacing="0" w:after="0" w:afterAutospacing="0" w:line="360" w:lineRule="atLeast"/>
        <w:ind w:firstLine="420"/>
        <w:rPr>
          <w:rFonts w:ascii="宋体" w:eastAsia="宋体" w:hAnsi="宋体" w:hint="eastAsia"/>
          <w:color w:val="000000"/>
          <w:sz w:val="21"/>
          <w:szCs w:val="21"/>
        </w:rPr>
      </w:pPr>
    </w:p>
    <w:p w:rsidR="0071769B" w:rsidRPr="000E08B6" w:rsidRDefault="0071769B" w:rsidP="000E08B6">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面临多重矛盾，货币政策需考虑多目标的实现。</w:t>
      </w:r>
      <w:r w:rsidRPr="000E08B6">
        <w:rPr>
          <w:rFonts w:ascii="宋体" w:eastAsia="宋体" w:hAnsi="宋体" w:hint="eastAsia"/>
          <w:color w:val="000000"/>
          <w:sz w:val="21"/>
          <w:szCs w:val="21"/>
        </w:rPr>
        <w:t>当前经济面临着三重矛盾：经济发展方式的转型与经济短期下行压力加大的矛盾、长期债务积累和短期去杠杆阵痛的矛盾，以及内部经济下行需要的宽松环境与全球政策紧缩周期直接的分化的内外部矛盾。与之相对应，货币政策面临着宽信用以稳增长、债务处置过程中的防风险、人民币汇率稳定的三个目标。一直以来，我国货币政策在宏观调控占据主角地位，并非单一目标和单一规则制，2019年则需在三重目标和矛盾中寻求平衡。</w:t>
      </w: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关注供给侧改革，货币政策创新，通胀目标有所弱化。</w:t>
      </w:r>
      <w:r w:rsidRPr="000E08B6">
        <w:rPr>
          <w:rFonts w:ascii="宋体" w:eastAsia="宋体" w:hAnsi="宋体" w:hint="eastAsia"/>
          <w:color w:val="000000"/>
          <w:sz w:val="21"/>
          <w:szCs w:val="21"/>
        </w:rPr>
        <w:t>面对经济结构性矛盾，2016年起的上游供给</w:t>
      </w:r>
      <w:proofErr w:type="gramStart"/>
      <w:r w:rsidRPr="000E08B6">
        <w:rPr>
          <w:rFonts w:ascii="宋体" w:eastAsia="宋体" w:hAnsi="宋体" w:hint="eastAsia"/>
          <w:color w:val="000000"/>
          <w:sz w:val="21"/>
          <w:szCs w:val="21"/>
        </w:rPr>
        <w:t>侧改革</w:t>
      </w:r>
      <w:proofErr w:type="gramEnd"/>
      <w:r w:rsidRPr="000E08B6">
        <w:rPr>
          <w:rFonts w:ascii="宋体" w:eastAsia="宋体" w:hAnsi="宋体" w:hint="eastAsia"/>
          <w:color w:val="000000"/>
          <w:sz w:val="21"/>
          <w:szCs w:val="21"/>
        </w:rPr>
        <w:t>带来的上游资源品和工业品价格攀升直接推升PPI，但</w:t>
      </w:r>
      <w:proofErr w:type="gramStart"/>
      <w:r w:rsidRPr="000E08B6">
        <w:rPr>
          <w:rFonts w:ascii="宋体" w:eastAsia="宋体" w:hAnsi="宋体" w:hint="eastAsia"/>
          <w:color w:val="000000"/>
          <w:sz w:val="21"/>
          <w:szCs w:val="21"/>
        </w:rPr>
        <w:t>该典型宽货币</w:t>
      </w:r>
      <w:proofErr w:type="gramEnd"/>
      <w:r w:rsidRPr="000E08B6">
        <w:rPr>
          <w:rFonts w:ascii="宋体" w:eastAsia="宋体" w:hAnsi="宋体" w:hint="eastAsia"/>
          <w:color w:val="000000"/>
          <w:sz w:val="21"/>
          <w:szCs w:val="21"/>
        </w:rPr>
        <w:t>阶段CPI却未见明显上行，CPI与PPI的分化使得货币政策通胀目标分散而不得不弱化。另一方面，去杠杆和防范金融风险成为政策重心，货币政策对此更为关注。</w:t>
      </w: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供给侧结构性改革关注中上游行业，经济的上下游结构性矛盾有所凸显。</w:t>
      </w:r>
      <w:r w:rsidRPr="000E08B6">
        <w:rPr>
          <w:rFonts w:ascii="宋体" w:eastAsia="宋体" w:hAnsi="宋体" w:hint="eastAsia"/>
          <w:color w:val="000000"/>
          <w:sz w:val="21"/>
          <w:szCs w:val="21"/>
        </w:rPr>
        <w:t>源于2015年12月底提出的“三去一补一降”关注中上游行业，无论是去产能、环保督查都对中上游企业产生显著的影响。上游周期行业方面，小煤窑的填埋、地条钢的清退、化工小企业的关停，令很多本来并不在经济数据统计口径中的中小企业退出了市场；大型企业合并更是在更高一级的层面提高了行业的集中度。上游行业企业在去产能推行过程中的集中度提高，上游工业品价格上涨压缩了集中度较低的中下游企业的利润，加之金融去杠杆对下游中小企业的融资能力的限制，下游企业经营环境恶化。</w:t>
      </w:r>
    </w:p>
    <w:p w:rsidR="000E08B6" w:rsidRDefault="0071769B" w:rsidP="0071769B">
      <w:pPr>
        <w:pStyle w:val="a3"/>
        <w:spacing w:before="0" w:beforeAutospacing="0" w:after="0" w:afterAutospacing="0" w:line="360" w:lineRule="atLeast"/>
        <w:rPr>
          <w:rFonts w:ascii="宋体" w:eastAsia="宋体" w:hAnsi="宋体"/>
          <w:color w:val="000000"/>
          <w:sz w:val="21"/>
          <w:szCs w:val="21"/>
        </w:rPr>
      </w:pPr>
      <w:r w:rsidRPr="000E08B6">
        <w:rPr>
          <w:rFonts w:ascii="宋体" w:eastAsia="宋体" w:hAnsi="宋体" w:hint="eastAsia"/>
          <w:color w:val="000000"/>
          <w:sz w:val="21"/>
          <w:szCs w:val="21"/>
        </w:rPr>
        <w:t xml:space="preserve">　　</w:t>
      </w:r>
    </w:p>
    <w:p w:rsidR="0071769B" w:rsidRPr="000E08B6" w:rsidRDefault="000E08B6" w:rsidP="0071769B">
      <w:pPr>
        <w:pStyle w:val="a3"/>
        <w:spacing w:before="0" w:beforeAutospacing="0" w:after="0" w:afterAutospacing="0" w:line="360" w:lineRule="atLeast"/>
        <w:rPr>
          <w:rFonts w:ascii="宋体" w:eastAsia="宋体" w:hAnsi="宋体" w:hint="eastAsia"/>
          <w:color w:val="000000"/>
          <w:sz w:val="21"/>
          <w:szCs w:val="21"/>
        </w:rPr>
      </w:pPr>
      <w:r>
        <w:rPr>
          <w:rStyle w:val="a4"/>
          <w:rFonts w:ascii="宋体" w:eastAsia="宋体" w:hAnsi="宋体"/>
          <w:b w:val="0"/>
          <w:color w:val="000000"/>
          <w:sz w:val="21"/>
          <w:szCs w:val="21"/>
        </w:rPr>
        <w:t xml:space="preserve">    </w:t>
      </w:r>
      <w:r w:rsidR="0071769B" w:rsidRPr="000E08B6">
        <w:rPr>
          <w:rStyle w:val="a4"/>
          <w:rFonts w:ascii="宋体" w:eastAsia="宋体" w:hAnsi="宋体" w:hint="eastAsia"/>
          <w:b w:val="0"/>
          <w:color w:val="000000"/>
          <w:sz w:val="21"/>
          <w:szCs w:val="21"/>
        </w:rPr>
        <w:t>2016年是典型的宽货币时期，但该阶段CPI未见明显上行，PPI上行主要源于供给侧成本推动。</w:t>
      </w:r>
      <w:r w:rsidR="0071769B" w:rsidRPr="000E08B6">
        <w:rPr>
          <w:rFonts w:ascii="宋体" w:eastAsia="宋体" w:hAnsi="宋体" w:hint="eastAsia"/>
          <w:color w:val="000000"/>
          <w:sz w:val="21"/>
          <w:szCs w:val="21"/>
        </w:rPr>
        <w:t>2011年底起CPI与PPI便出现了较为明显的分化走势，2016年这一现象更为显著。在供给侧结构性改革去除上游过剩产能的影响下，上游资源品和工业品价格大幅上涨直接推动了PPI上行，这一过程是成本端直接推动而非货币政策宽松引致的需求提振。相较而言，CPI在这一时期内表现平稳，宽松的货币政策不仅没有直接拉动消费需求，PPI也未能像2010年前数次的通货膨胀期间一样传导至CPI。</w:t>
      </w:r>
    </w:p>
    <w:p w:rsidR="0071769B" w:rsidRPr="000E08B6" w:rsidRDefault="0071769B" w:rsidP="0071769B">
      <w:pPr>
        <w:pStyle w:val="a3"/>
        <w:spacing w:before="0" w:beforeAutospacing="0" w:after="0" w:afterAutospacing="0" w:line="360" w:lineRule="atLeast"/>
        <w:jc w:val="center"/>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PPI的需求拉动效果体现为中上游需求扩张引致经济上行，促进就业并提高人均收入水平，进而刺激居民消费，最终形成对CPI的传导。2016年以来的PPI上行并未拉动工业增加值回升；而相比2003年和2009年通胀上升阶段，工业增加值都有相应提升。</w:t>
      </w: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通胀是全球主要经济体的货币政策目标在经济的结构性矛盾和通胀指标的分化背景下，我国货币政策通胀目标有所弱化。</w:t>
      </w:r>
      <w:r w:rsidRPr="000E08B6">
        <w:rPr>
          <w:rFonts w:ascii="宋体" w:eastAsia="宋体" w:hAnsi="宋体" w:hint="eastAsia"/>
          <w:color w:val="000000"/>
          <w:sz w:val="21"/>
          <w:szCs w:val="21"/>
        </w:rPr>
        <w:t>2012年起CPI与PPI产生了分化，2016年PPI快速上行而CPI保持平稳运行更为显著。本轮工业品和居民消费品价格的分化如此显著，通胀指标的信号作用变得模糊、混乱和复杂。</w:t>
      </w:r>
    </w:p>
    <w:p w:rsidR="0071769B" w:rsidRPr="000E08B6" w:rsidRDefault="0071769B" w:rsidP="000E08B6">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p>
    <w:p w:rsidR="0071769B" w:rsidRPr="000E08B6" w:rsidRDefault="0071769B" w:rsidP="0071769B">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r w:rsidRPr="000E08B6">
        <w:rPr>
          <w:rStyle w:val="a4"/>
          <w:rFonts w:ascii="宋体" w:eastAsia="宋体" w:hAnsi="宋体" w:hint="eastAsia"/>
          <w:b w:val="0"/>
          <w:color w:val="000000"/>
          <w:sz w:val="21"/>
          <w:szCs w:val="21"/>
        </w:rPr>
        <w:t>目前我国货币政策</w:t>
      </w:r>
      <w:proofErr w:type="gramStart"/>
      <w:r w:rsidRPr="000E08B6">
        <w:rPr>
          <w:rStyle w:val="a4"/>
          <w:rFonts w:ascii="宋体" w:eastAsia="宋体" w:hAnsi="宋体" w:hint="eastAsia"/>
          <w:b w:val="0"/>
          <w:color w:val="000000"/>
          <w:sz w:val="21"/>
          <w:szCs w:val="21"/>
        </w:rPr>
        <w:t>调控正</w:t>
      </w:r>
      <w:proofErr w:type="gramEnd"/>
      <w:r w:rsidRPr="000E08B6">
        <w:rPr>
          <w:rStyle w:val="a4"/>
          <w:rFonts w:ascii="宋体" w:eastAsia="宋体" w:hAnsi="宋体" w:hint="eastAsia"/>
          <w:b w:val="0"/>
          <w:color w:val="000000"/>
          <w:sz w:val="21"/>
          <w:szCs w:val="21"/>
        </w:rPr>
        <w:t>处于数量型向价格型转型的过程，价格工具将越来越多使用。</w:t>
      </w:r>
      <w:proofErr w:type="gramStart"/>
      <w:r w:rsidRPr="000E08B6">
        <w:rPr>
          <w:rFonts w:ascii="宋体" w:eastAsia="宋体" w:hAnsi="宋体" w:hint="eastAsia"/>
          <w:color w:val="000000"/>
          <w:sz w:val="21"/>
          <w:szCs w:val="21"/>
        </w:rPr>
        <w:t>当前宽货币</w:t>
      </w:r>
      <w:proofErr w:type="gramEnd"/>
      <w:r w:rsidRPr="000E08B6">
        <w:rPr>
          <w:rFonts w:ascii="宋体" w:eastAsia="宋体" w:hAnsi="宋体" w:hint="eastAsia"/>
          <w:color w:val="000000"/>
          <w:sz w:val="21"/>
          <w:szCs w:val="21"/>
        </w:rPr>
        <w:t>向宽信用传导阻滞的矛盾点并非数量工具投放不足，而在利率传导不畅，后续数量工具的再使用效果自然大打折扣，因而价格工具将成为货币政策工具箱的下一步。我们货币政策</w:t>
      </w:r>
      <w:proofErr w:type="gramStart"/>
      <w:r w:rsidRPr="000E08B6">
        <w:rPr>
          <w:rFonts w:ascii="宋体" w:eastAsia="宋体" w:hAnsi="宋体" w:hint="eastAsia"/>
          <w:color w:val="000000"/>
          <w:sz w:val="21"/>
          <w:szCs w:val="21"/>
        </w:rPr>
        <w:t>调控正</w:t>
      </w:r>
      <w:proofErr w:type="gramEnd"/>
      <w:r w:rsidRPr="000E08B6">
        <w:rPr>
          <w:rFonts w:ascii="宋体" w:eastAsia="宋体" w:hAnsi="宋体" w:hint="eastAsia"/>
          <w:color w:val="000000"/>
          <w:sz w:val="21"/>
          <w:szCs w:val="21"/>
        </w:rPr>
        <w:t>处于由数量型向价格型转型的过程中，以利率走廊为代表的价格</w:t>
      </w:r>
      <w:proofErr w:type="gramStart"/>
      <w:r w:rsidRPr="000E08B6">
        <w:rPr>
          <w:rFonts w:ascii="宋体" w:eastAsia="宋体" w:hAnsi="宋体" w:hint="eastAsia"/>
          <w:color w:val="000000"/>
          <w:sz w:val="21"/>
          <w:szCs w:val="21"/>
        </w:rPr>
        <w:t>型货币</w:t>
      </w:r>
      <w:proofErr w:type="gramEnd"/>
      <w:r w:rsidRPr="000E08B6">
        <w:rPr>
          <w:rFonts w:ascii="宋体" w:eastAsia="宋体" w:hAnsi="宋体" w:hint="eastAsia"/>
          <w:color w:val="000000"/>
          <w:sz w:val="21"/>
          <w:szCs w:val="21"/>
        </w:rPr>
        <w:t>政策调控方式正不断完善构建。但在当前信用扩张受阻的环境下，金融市场利率下行并不能传导至实体经济融资成本回落，因而需要通过存贷款基准利率的调整实现价格工具的效果。</w:t>
      </w:r>
    </w:p>
    <w:p w:rsidR="0071769B" w:rsidRPr="000E08B6" w:rsidRDefault="0071769B" w:rsidP="000E08B6">
      <w:pPr>
        <w:pStyle w:val="a3"/>
        <w:spacing w:before="0" w:beforeAutospacing="0" w:after="0" w:afterAutospacing="0" w:line="360" w:lineRule="atLeast"/>
        <w:rPr>
          <w:rFonts w:ascii="宋体" w:eastAsia="宋体" w:hAnsi="宋体" w:hint="eastAsia"/>
          <w:color w:val="000000"/>
          <w:sz w:val="21"/>
          <w:szCs w:val="21"/>
        </w:rPr>
      </w:pPr>
      <w:r w:rsidRPr="000E08B6">
        <w:rPr>
          <w:rFonts w:ascii="宋体" w:eastAsia="宋体" w:hAnsi="宋体" w:hint="eastAsia"/>
          <w:color w:val="000000"/>
          <w:sz w:val="21"/>
          <w:szCs w:val="21"/>
        </w:rPr>
        <w:t xml:space="preserve">　　</w:t>
      </w:r>
    </w:p>
    <w:p w:rsidR="0071769B" w:rsidRDefault="0071769B" w:rsidP="000E08B6">
      <w:pPr>
        <w:pStyle w:val="a3"/>
        <w:spacing w:before="0" w:beforeAutospacing="0" w:after="0" w:afterAutospacing="0" w:line="360" w:lineRule="atLeast"/>
        <w:ind w:firstLine="420"/>
        <w:rPr>
          <w:rFonts w:ascii="宋体" w:eastAsia="宋体" w:hAnsi="宋体"/>
          <w:color w:val="000000"/>
          <w:sz w:val="21"/>
          <w:szCs w:val="21"/>
        </w:rPr>
      </w:pPr>
      <w:r w:rsidRPr="000E08B6">
        <w:rPr>
          <w:rStyle w:val="a4"/>
          <w:rFonts w:ascii="宋体" w:eastAsia="宋体" w:hAnsi="宋体" w:hint="eastAsia"/>
          <w:b w:val="0"/>
          <w:color w:val="000000"/>
          <w:sz w:val="21"/>
          <w:szCs w:val="21"/>
        </w:rPr>
        <w:lastRenderedPageBreak/>
        <w:t>未来货币层面上会维持一个宽松的环境，货币政策将会进一步出现多种创新，比如通过发行融资支持工具等手段来解决。</w:t>
      </w:r>
      <w:r w:rsidRPr="000E08B6">
        <w:rPr>
          <w:rFonts w:ascii="宋体" w:eastAsia="宋体" w:hAnsi="宋体" w:hint="eastAsia"/>
          <w:color w:val="000000"/>
          <w:sz w:val="21"/>
          <w:szCs w:val="21"/>
        </w:rPr>
        <w:t>我们在报告《近期民企政策答疑—六问民营</w:t>
      </w:r>
      <w:hyperlink r:id="rId8" w:history="1">
        <w:r w:rsidRPr="000E08B6">
          <w:rPr>
            <w:rStyle w:val="a5"/>
            <w:rFonts w:ascii="宋体" w:eastAsia="宋体" w:hAnsi="宋体" w:hint="eastAsia"/>
            <w:color w:val="05529A"/>
            <w:sz w:val="21"/>
            <w:szCs w:val="21"/>
          </w:rPr>
          <w:t>企业债券</w:t>
        </w:r>
      </w:hyperlink>
      <w:r w:rsidRPr="000E08B6">
        <w:rPr>
          <w:rFonts w:ascii="宋体" w:eastAsia="宋体" w:hAnsi="宋体" w:hint="eastAsia"/>
          <w:color w:val="000000"/>
          <w:sz w:val="21"/>
          <w:szCs w:val="21"/>
        </w:rPr>
        <w:t>融资支持工具与CRM》中介绍过CDS等工具的运作原理，并未有资金投放但是风险得到了化解，对企业也进行了增信，支持其融资。同时地方政府还采取了成立基金进行股权受让的方式对企业提供资金，有效化解股权质押风险。</w:t>
      </w:r>
    </w:p>
    <w:p w:rsidR="000E08B6" w:rsidRPr="000E08B6" w:rsidRDefault="000E08B6" w:rsidP="000E08B6">
      <w:pPr>
        <w:pStyle w:val="a3"/>
        <w:spacing w:before="0" w:beforeAutospacing="0" w:after="0" w:afterAutospacing="0" w:line="360" w:lineRule="atLeast"/>
        <w:ind w:firstLine="420"/>
        <w:rPr>
          <w:rFonts w:ascii="宋体" w:eastAsia="宋体" w:hAnsi="宋体" w:hint="eastAsia"/>
          <w:color w:val="000000"/>
          <w:sz w:val="21"/>
          <w:szCs w:val="21"/>
        </w:rPr>
      </w:pPr>
    </w:p>
    <w:p w:rsidR="0071769B" w:rsidRDefault="0071769B" w:rsidP="000E08B6">
      <w:pPr>
        <w:pStyle w:val="a3"/>
        <w:spacing w:before="0" w:beforeAutospacing="0" w:after="0" w:afterAutospacing="0" w:line="360" w:lineRule="atLeast"/>
        <w:ind w:firstLine="420"/>
        <w:rPr>
          <w:rFonts w:ascii="宋体" w:eastAsia="宋体" w:hAnsi="宋体"/>
          <w:color w:val="000000"/>
          <w:sz w:val="21"/>
          <w:szCs w:val="21"/>
        </w:rPr>
      </w:pPr>
      <w:r w:rsidRPr="000E08B6">
        <w:rPr>
          <w:rStyle w:val="a4"/>
          <w:rFonts w:ascii="宋体" w:eastAsia="宋体" w:hAnsi="宋体" w:hint="eastAsia"/>
          <w:b w:val="0"/>
          <w:color w:val="000000"/>
          <w:sz w:val="21"/>
          <w:szCs w:val="21"/>
        </w:rPr>
        <w:t>货币政策与财政政策配合。</w:t>
      </w:r>
      <w:r w:rsidRPr="000E08B6">
        <w:rPr>
          <w:rFonts w:ascii="宋体" w:eastAsia="宋体" w:hAnsi="宋体" w:hint="eastAsia"/>
          <w:color w:val="000000"/>
          <w:sz w:val="21"/>
          <w:szCs w:val="21"/>
        </w:rPr>
        <w:t>2018年货币政策另一特征是货币政策财政化： MLF抵押品扩容等带有类QE色彩；民营企业再贷款、再贴现支持，民营企业债券融资支持工具和股权融资工具都带有QE色彩；社融作为货币政策中介目标之一，将地方政府专项债融资纳入统计口径也符合货币政策财政化趋势。目前我国仍然属于财政主导的金融体系。在这种金融体系下，货币政策、监管政策、其他金融机构等都需要被动配合。</w:t>
      </w:r>
    </w:p>
    <w:p w:rsidR="000E08B6" w:rsidRPr="000E08B6" w:rsidRDefault="000E08B6" w:rsidP="000E08B6">
      <w:pPr>
        <w:pStyle w:val="a3"/>
        <w:spacing w:before="0" w:beforeAutospacing="0" w:after="0" w:afterAutospacing="0" w:line="360" w:lineRule="atLeast"/>
        <w:ind w:firstLine="420"/>
        <w:rPr>
          <w:rFonts w:ascii="宋体" w:eastAsia="宋体" w:hAnsi="宋体" w:hint="eastAsia"/>
          <w:color w:val="000000"/>
          <w:sz w:val="21"/>
          <w:szCs w:val="21"/>
        </w:rPr>
      </w:pPr>
    </w:p>
    <w:p w:rsidR="0071769B" w:rsidRDefault="0071769B" w:rsidP="000E08B6">
      <w:pPr>
        <w:pStyle w:val="a3"/>
        <w:spacing w:before="0" w:beforeAutospacing="0" w:after="0" w:afterAutospacing="0" w:line="360" w:lineRule="atLeast"/>
        <w:ind w:firstLine="420"/>
        <w:rPr>
          <w:rFonts w:ascii="宋体" w:eastAsia="宋体" w:hAnsi="宋体"/>
          <w:color w:val="000000"/>
          <w:sz w:val="21"/>
          <w:szCs w:val="21"/>
        </w:rPr>
      </w:pPr>
      <w:r w:rsidRPr="000E08B6">
        <w:rPr>
          <w:rStyle w:val="a4"/>
          <w:rFonts w:ascii="宋体" w:eastAsia="宋体" w:hAnsi="宋体" w:hint="eastAsia"/>
          <w:b w:val="0"/>
          <w:color w:val="000000"/>
          <w:sz w:val="21"/>
          <w:szCs w:val="21"/>
        </w:rPr>
        <w:t>实际上，在宏观杠杆率较高、</w:t>
      </w:r>
      <w:proofErr w:type="gramStart"/>
      <w:r w:rsidRPr="000E08B6">
        <w:rPr>
          <w:rStyle w:val="a4"/>
          <w:rFonts w:ascii="宋体" w:eastAsia="宋体" w:hAnsi="宋体" w:hint="eastAsia"/>
          <w:b w:val="0"/>
          <w:color w:val="000000"/>
          <w:sz w:val="21"/>
          <w:szCs w:val="21"/>
        </w:rPr>
        <w:t>稳经济</w:t>
      </w:r>
      <w:proofErr w:type="gramEnd"/>
      <w:r w:rsidRPr="000E08B6">
        <w:rPr>
          <w:rStyle w:val="a4"/>
          <w:rFonts w:ascii="宋体" w:eastAsia="宋体" w:hAnsi="宋体" w:hint="eastAsia"/>
          <w:b w:val="0"/>
          <w:color w:val="000000"/>
          <w:sz w:val="21"/>
          <w:szCs w:val="21"/>
        </w:rPr>
        <w:t>背景下，货币政策与财政政策殊途同归。</w:t>
      </w:r>
      <w:r w:rsidRPr="000E08B6">
        <w:rPr>
          <w:rFonts w:ascii="宋体" w:eastAsia="宋体" w:hAnsi="宋体" w:hint="eastAsia"/>
          <w:color w:val="000000"/>
          <w:sz w:val="21"/>
          <w:szCs w:val="21"/>
        </w:rPr>
        <w:t>历史上看，货币政策与财政政策同步配合较强：2014年货币政策宽松背后是配合地方政府债务置换；本轮货币宽松背后有地方政府专项债加速发行。如果说2018年货币政策的宽松还是“独角戏”，那么可以预见在减税、扩大赤字等积极财政政策加持的宏观调控宽松环境中，货币政策更将配合财政政策和监管政策，实现政策“几家抬”。</w:t>
      </w:r>
    </w:p>
    <w:p w:rsidR="000E08B6" w:rsidRPr="000E08B6" w:rsidRDefault="000E08B6" w:rsidP="000E08B6">
      <w:pPr>
        <w:pStyle w:val="a3"/>
        <w:spacing w:before="0" w:beforeAutospacing="0" w:after="0" w:afterAutospacing="0" w:line="360" w:lineRule="atLeast"/>
        <w:ind w:firstLine="420"/>
        <w:rPr>
          <w:rFonts w:ascii="宋体" w:eastAsia="宋体" w:hAnsi="宋体" w:hint="eastAsia"/>
          <w:color w:val="000000"/>
          <w:sz w:val="21"/>
          <w:szCs w:val="21"/>
        </w:rPr>
      </w:pPr>
    </w:p>
    <w:p w:rsidR="0071769B" w:rsidRDefault="0071769B" w:rsidP="00287E0D">
      <w:pPr>
        <w:pStyle w:val="a3"/>
        <w:spacing w:before="0" w:beforeAutospacing="0" w:after="0" w:afterAutospacing="0" w:line="360" w:lineRule="atLeast"/>
        <w:ind w:firstLine="420"/>
        <w:rPr>
          <w:rFonts w:ascii="宋体" w:eastAsia="宋体" w:hAnsi="宋体"/>
          <w:color w:val="000000"/>
          <w:sz w:val="21"/>
          <w:szCs w:val="21"/>
        </w:rPr>
      </w:pPr>
      <w:r w:rsidRPr="000E08B6">
        <w:rPr>
          <w:rStyle w:val="a4"/>
          <w:rFonts w:ascii="宋体" w:eastAsia="宋体" w:hAnsi="宋体" w:hint="eastAsia"/>
          <w:b w:val="0"/>
          <w:color w:val="000000"/>
          <w:sz w:val="21"/>
          <w:szCs w:val="21"/>
        </w:rPr>
        <w:t>总的来说，在以国内经济为主的货币政策中，包括利率、准备金率以及货币条件在内的政策调整会随机而动，未来货币政策将</w:t>
      </w:r>
      <w:proofErr w:type="gramStart"/>
      <w:r w:rsidRPr="000E08B6">
        <w:rPr>
          <w:rStyle w:val="a4"/>
          <w:rFonts w:ascii="宋体" w:eastAsia="宋体" w:hAnsi="宋体" w:hint="eastAsia"/>
          <w:b w:val="0"/>
          <w:color w:val="000000"/>
          <w:sz w:val="21"/>
          <w:szCs w:val="21"/>
        </w:rPr>
        <w:t>呈现降准</w:t>
      </w:r>
      <w:proofErr w:type="gramEnd"/>
      <w:r w:rsidRPr="000E08B6">
        <w:rPr>
          <w:rStyle w:val="a4"/>
          <w:rFonts w:ascii="宋体" w:eastAsia="宋体" w:hAnsi="宋体" w:hint="eastAsia"/>
          <w:b w:val="0"/>
          <w:color w:val="000000"/>
          <w:sz w:val="21"/>
          <w:szCs w:val="21"/>
        </w:rPr>
        <w:t>+降息组合，</w:t>
      </w:r>
      <w:r w:rsidRPr="000E08B6">
        <w:rPr>
          <w:rFonts w:ascii="宋体" w:eastAsia="宋体" w:hAnsi="宋体" w:hint="eastAsia"/>
          <w:color w:val="000000"/>
          <w:sz w:val="21"/>
          <w:szCs w:val="21"/>
        </w:rPr>
        <w:t>其中</w:t>
      </w:r>
      <w:proofErr w:type="gramStart"/>
      <w:r w:rsidRPr="000E08B6">
        <w:rPr>
          <w:rFonts w:ascii="宋体" w:eastAsia="宋体" w:hAnsi="宋体" w:hint="eastAsia"/>
          <w:color w:val="000000"/>
          <w:sz w:val="21"/>
          <w:szCs w:val="21"/>
        </w:rPr>
        <w:t>降准仍然</w:t>
      </w:r>
      <w:proofErr w:type="gramEnd"/>
      <w:r w:rsidRPr="000E08B6">
        <w:rPr>
          <w:rFonts w:ascii="宋体" w:eastAsia="宋体" w:hAnsi="宋体" w:hint="eastAsia"/>
          <w:color w:val="000000"/>
          <w:sz w:val="21"/>
          <w:szCs w:val="21"/>
        </w:rPr>
        <w:t>是数量投放的主要工具，MLF为辅助、逆回购次之；若银行风险偏好继续下行、信用扩张受阻，流动性供给的效果仍然很弱，则需动用价格工具，预计2019年存在1~2次存贷款基准利率下调空间。</w:t>
      </w:r>
    </w:p>
    <w:p w:rsidR="00287E0D" w:rsidRDefault="00287E0D" w:rsidP="00287E0D">
      <w:pPr>
        <w:pStyle w:val="a3"/>
        <w:spacing w:before="0" w:beforeAutospacing="0" w:after="0" w:afterAutospacing="0" w:line="360" w:lineRule="atLeast"/>
        <w:ind w:firstLine="420"/>
        <w:rPr>
          <w:rFonts w:ascii="宋体" w:eastAsia="宋体" w:hAnsi="宋体"/>
          <w:color w:val="000000"/>
          <w:sz w:val="21"/>
          <w:szCs w:val="21"/>
        </w:rPr>
      </w:pPr>
    </w:p>
    <w:p w:rsidR="00287E0D" w:rsidRDefault="00287E0D" w:rsidP="00287E0D">
      <w:pPr>
        <w:pStyle w:val="a3"/>
        <w:spacing w:before="0" w:beforeAutospacing="0" w:after="0" w:afterAutospacing="0" w:line="360" w:lineRule="atLeast"/>
        <w:ind w:firstLine="420"/>
        <w:rPr>
          <w:rFonts w:ascii="宋体" w:eastAsia="宋体" w:hAnsi="宋体"/>
          <w:color w:val="000000"/>
          <w:sz w:val="21"/>
          <w:szCs w:val="21"/>
        </w:rPr>
      </w:pPr>
      <w:r>
        <w:rPr>
          <w:rFonts w:ascii="宋体" w:eastAsia="宋体" w:hAnsi="宋体"/>
          <w:color w:val="000000"/>
          <w:sz w:val="21"/>
          <w:szCs w:val="21"/>
        </w:rPr>
        <w:t xml:space="preserve">                                        </w:t>
      </w:r>
    </w:p>
    <w:p w:rsidR="00287E0D" w:rsidRPr="00287E0D" w:rsidRDefault="00287E0D" w:rsidP="00287E0D">
      <w:pPr>
        <w:pStyle w:val="a3"/>
        <w:spacing w:before="0" w:beforeAutospacing="0" w:after="0" w:afterAutospacing="0" w:line="360" w:lineRule="atLeast"/>
        <w:ind w:firstLine="420"/>
        <w:rPr>
          <w:rFonts w:ascii="宋体" w:eastAsia="宋体" w:hAnsi="宋体"/>
          <w:color w:val="000000"/>
          <w:szCs w:val="21"/>
        </w:rPr>
      </w:pPr>
      <w:r>
        <w:rPr>
          <w:rFonts w:ascii="宋体" w:eastAsia="宋体" w:hAnsi="宋体"/>
          <w:color w:val="000000"/>
          <w:sz w:val="21"/>
          <w:szCs w:val="21"/>
        </w:rPr>
        <w:t xml:space="preserve">                                                                    </w:t>
      </w:r>
      <w:bookmarkStart w:id="0" w:name="_GoBack"/>
      <w:bookmarkEnd w:id="0"/>
      <w:r w:rsidRPr="00287E0D">
        <w:rPr>
          <w:rFonts w:ascii="宋体" w:eastAsia="宋体" w:hAnsi="宋体" w:hint="eastAsia"/>
          <w:color w:val="000000"/>
          <w:szCs w:val="21"/>
        </w:rPr>
        <w:t>汤淳</w:t>
      </w:r>
    </w:p>
    <w:p w:rsidR="00287E0D" w:rsidRPr="00287E0D" w:rsidRDefault="00287E0D" w:rsidP="00287E0D">
      <w:pPr>
        <w:pStyle w:val="a3"/>
        <w:spacing w:before="0" w:beforeAutospacing="0" w:after="0" w:afterAutospacing="0" w:line="360" w:lineRule="atLeast"/>
        <w:ind w:firstLine="420"/>
        <w:rPr>
          <w:rFonts w:ascii="宋体" w:eastAsia="宋体" w:hAnsi="宋体" w:hint="eastAsia"/>
          <w:color w:val="000000"/>
          <w:szCs w:val="21"/>
        </w:rPr>
      </w:pPr>
      <w:r w:rsidRPr="00287E0D">
        <w:rPr>
          <w:rFonts w:ascii="宋体" w:eastAsia="宋体" w:hAnsi="宋体" w:hint="eastAsia"/>
          <w:color w:val="000000"/>
          <w:szCs w:val="21"/>
        </w:rPr>
        <w:t xml:space="preserve"> </w:t>
      </w:r>
      <w:r w:rsidRPr="00287E0D">
        <w:rPr>
          <w:rFonts w:ascii="宋体" w:eastAsia="宋体" w:hAnsi="宋体"/>
          <w:color w:val="000000"/>
          <w:szCs w:val="21"/>
        </w:rPr>
        <w:t xml:space="preserve">                                                   </w:t>
      </w:r>
      <w:r w:rsidRPr="00287E0D">
        <w:rPr>
          <w:rFonts w:ascii="宋体" w:eastAsia="宋体" w:hAnsi="宋体" w:hint="eastAsia"/>
          <w:color w:val="000000"/>
          <w:szCs w:val="21"/>
        </w:rPr>
        <w:t>15140220024</w:t>
      </w:r>
    </w:p>
    <w:p w:rsidR="00F539D9" w:rsidRPr="000E08B6" w:rsidRDefault="00F539D9"/>
    <w:sectPr w:rsidR="00F539D9" w:rsidRPr="000E0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9B"/>
    <w:rsid w:val="000E08B6"/>
    <w:rsid w:val="00287E0D"/>
    <w:rsid w:val="00543BE9"/>
    <w:rsid w:val="0071769B"/>
    <w:rsid w:val="00F5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8136"/>
  <w15:chartTrackingRefBased/>
  <w15:docId w15:val="{AD692BE5-2FCF-43C3-A8E8-D781E4B7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769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1769B"/>
    <w:rPr>
      <w:b/>
      <w:bCs/>
    </w:rPr>
  </w:style>
  <w:style w:type="character" w:styleId="a5">
    <w:name w:val="Hyperlink"/>
    <w:basedOn w:val="a0"/>
    <w:uiPriority w:val="99"/>
    <w:semiHidden/>
    <w:unhideWhenUsed/>
    <w:rsid w:val="00717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75974">
      <w:bodyDiv w:val="1"/>
      <w:marLeft w:val="0"/>
      <w:marRight w:val="0"/>
      <w:marTop w:val="0"/>
      <w:marBottom w:val="0"/>
      <w:divBdr>
        <w:top w:val="none" w:sz="0" w:space="0" w:color="auto"/>
        <w:left w:val="none" w:sz="0" w:space="0" w:color="auto"/>
        <w:bottom w:val="none" w:sz="0" w:space="0" w:color="auto"/>
        <w:right w:val="none" w:sz="0" w:space="0" w:color="auto"/>
      </w:divBdr>
    </w:div>
    <w:div w:id="1069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mary.jrj.com.cn/bond/shqz.shtml" TargetMode="External"/><Relationship Id="rId3" Type="http://schemas.openxmlformats.org/officeDocument/2006/relationships/webSettings" Target="webSettings.xml"/><Relationship Id="rId7" Type="http://schemas.openxmlformats.org/officeDocument/2006/relationships/hyperlink" Target="http://bank.jrj.com.cn/lo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ck.jrj.com.cn/ipo/zrz.shtml" TargetMode="External"/><Relationship Id="rId5" Type="http://schemas.openxmlformats.org/officeDocument/2006/relationships/hyperlink" Target="http://summary.jrj.com.cn/" TargetMode="External"/><Relationship Id="rId10" Type="http://schemas.openxmlformats.org/officeDocument/2006/relationships/theme" Target="theme/theme1.xml"/><Relationship Id="rId4" Type="http://schemas.openxmlformats.org/officeDocument/2006/relationships/hyperlink" Target="http://fund.jrj.com.cn/subject/3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TC</dc:creator>
  <cp:keywords/>
  <dc:description/>
  <cp:lastModifiedBy>Joey TC</cp:lastModifiedBy>
  <cp:revision>1</cp:revision>
  <dcterms:created xsi:type="dcterms:W3CDTF">2019-01-01T15:04:00Z</dcterms:created>
  <dcterms:modified xsi:type="dcterms:W3CDTF">2019-01-01T15:58:00Z</dcterms:modified>
</cp:coreProperties>
</file>