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PredictiveMaint AI — Endüstriyel Ekipman Arızası Tahmini</w:t>
      </w:r>
    </w:p>
    <w:p>
      <w:r>
        <w:rPr>
          <w:b w:val="0"/>
        </w:rPr>
        <w:t>Makine ve Derin Öğrenme Uygulamaları · Proje raporu · Tugay Sinan Ergün (GitHub: TCoderr) · 19 Ekim 2026</w:t>
      </w:r>
    </w:p>
    <w:p>
      <w:r>
        <w:rPr>
          <w:b w:val="0"/>
        </w:rPr>
      </w:r>
      <w:r>
        <w:rPr>
          <w:b/>
        </w:rPr>
        <w:t>Kod ve Notebook:</w:t>
      </w:r>
      <w:r>
        <w:rPr>
          <w:b w:val="0"/>
        </w:rPr>
        <w:t xml:space="preserve"> Teslim paketindeki notebooks/PredictiveMaint_AI.ipynb (çalıştırılmış çıktılarıyla). </w:t>
      </w:r>
      <w:r>
        <w:rPr>
          <w:b/>
        </w:rPr>
        <w:t>GitHub/Colab bağlantısı henüz yayımlanmadı</w:t>
      </w:r>
      <w:r>
        <w:rPr>
          <w:b w:val="0"/>
        </w:rPr>
        <w:t>; yazar yükledikten sonra buraya eklenecektir.</w:t>
      </w:r>
    </w:p>
    <w:p>
      <w:pPr>
        <w:spacing w:before="160" w:after="60"/>
      </w:pPr>
      <w:r>
        <w:rPr>
          <w:b/>
          <w:color w:val="00798C"/>
          <w:sz w:val="25"/>
        </w:rPr>
        <w:t>1. Problem tanımı</w:t>
      </w:r>
    </w:p>
    <w:p>
      <w:r>
        <w:rPr>
          <w:b w:val="0"/>
        </w:rPr>
        <w:t>Girdi olarak bir üretim sürecinin ürün tipi (L/M/H), hava ve süreç sıcaklığı, devir, tork ve takım aşınması kullanılır. Çıktı, sürecin arızayla sonuçlanıp sonuçlanmayacağıdır (</w:t>
      </w:r>
      <w:r>
        <w:rPr>
          <w:b/>
        </w:rPr>
        <w:t>Machine failure</w:t>
      </w:r>
      <w:r>
        <w:rPr>
          <w:b w:val="0"/>
        </w:rPr>
        <w:t xml:space="preserve">, ikili sınıflandırma). Arızayı önceden tahmin etmek plansız duruşları azaltır. Kaçırılan her gerçek arıza (yanlış negatif) hasar ve duruş anlamına geldiği için değerlendirmede </w:t>
      </w:r>
      <w:r>
        <w:rPr>
          <w:b/>
        </w:rPr>
        <w:t>recall</w:t>
      </w:r>
      <w:r>
        <w:rPr>
          <w:b w:val="0"/>
        </w:rPr>
        <w:t xml:space="preserve"> özellikle önemlidir.</w:t>
      </w:r>
    </w:p>
    <w:p>
      <w:pPr>
        <w:spacing w:before="160" w:after="60"/>
      </w:pPr>
      <w:r>
        <w:rPr>
          <w:b/>
          <w:color w:val="00798C"/>
          <w:sz w:val="25"/>
        </w:rPr>
        <w:t>2. Veri seti</w:t>
      </w:r>
    </w:p>
    <w:p>
      <w:r>
        <w:rPr>
          <w:b w:val="0"/>
        </w:rPr>
      </w:r>
      <w:r>
        <w:rPr>
          <w:b/>
        </w:rPr>
        <w:t>Kaynak:</w:t>
      </w:r>
      <w:r>
        <w:rPr>
          <w:b w:val="0"/>
        </w:rPr>
        <w:t xml:space="preserve"> UCI Machine Learning Repository — AI4I 2020 Predictive Maintenance Dataset (S. Matzka, 2020; CC BY 4.0; doi:10.24432/C5HS5C). 10000 gözlem, 14 sütun; eksik değer 0, tekrarlanan satır 0. Hedef: Machine failure; 339 arıza (%3,39). </w:t>
      </w:r>
      <w:r>
        <w:rPr>
          <w:b/>
        </w:rPr>
        <w:t>Güçlü sınıf dengesizliği</w:t>
      </w:r>
      <w:r>
        <w:rPr>
          <w:b w:val="0"/>
        </w:rPr>
        <w:t xml:space="preserve"> var. </w:t>
      </w:r>
      <w:r>
        <w:rPr>
          <w:b/>
        </w:rPr>
        <w:t>Veri sentetiktir:</w:t>
      </w:r>
      <w:r>
        <w:rPr>
          <w:b w:val="0"/>
        </w:rPr>
        <w:t xml:space="preserve"> UCI açıklamasına göre gerçek kestirimci bakım verisini yansıtmak için üretilmiştir, gerçek bir fabrikadan ölçülmemiştir.</w:t>
      </w:r>
    </w:p>
    <w:p>
      <w:r>
        <w:rPr>
          <w:b w:val="0"/>
        </w:rPr>
      </w:r>
      <w:r>
        <w:rPr>
          <w:b/>
        </w:rPr>
        <w:t>Arıza türü sütunları</w:t>
      </w:r>
      <w:r>
        <w:rPr>
          <w:b w:val="0"/>
        </w:rPr>
        <w:t xml:space="preserve"> (TWF 46, HDF 115, PWF 95, OSF 98, RNF 19) arıza gerçekleştikten sonra bilinen bilgilerdir. Modele verilirse </w:t>
      </w:r>
      <w:r>
        <w:rPr>
          <w:b/>
        </w:rPr>
        <w:t>hedef sızıntısı</w:t>
      </w:r>
      <w:r>
        <w:rPr>
          <w:b w:val="0"/>
        </w:rPr>
        <w:t xml:space="preserve"> olur; bu yüzden yalnızca hata analizinde kullanıldı. Dosyada 9 arızanın hiçbir türü yok; 18 satırda ise tür işaretli olduğu hâlde Machine failure = 0 (bunların 18 tanesi RNF). UCI sayfasındaki TWF ve RNF sayıları dosyadakilerle örtüşmüyor; bu raporda dosyadaki gerçek sayılar kullanıldı. UDI sıra numarası ve Product ID ürün kimliği olduğu için çıkarıldı (Product ID'nin ilk harfi Type ile aynıdır).</w:t>
      </w:r>
    </w:p>
    <w:p>
      <w:pPr>
        <w:spacing w:before="160" w:after="60"/>
      </w:pPr>
      <w:r>
        <w:rPr>
          <w:b/>
          <w:color w:val="00798C"/>
          <w:sz w:val="25"/>
        </w:rPr>
        <w:t>3. Veri keşfi ve ön işleme</w:t>
      </w:r>
    </w:p>
    <w:p>
      <w:pPr>
        <w:jc w:val="center"/>
      </w:pPr>
      <w:r>
        <w:drawing>
          <wp:inline xmlns:a="http://schemas.openxmlformats.org/drawingml/2006/main" xmlns:pic="http://schemas.openxmlformats.org/drawingml/2006/picture">
            <wp:extent cx="5220000" cy="1898182"/>
            <wp:docPr id="1" name="Picture 1"/>
            <wp:cNvGraphicFramePr>
              <a:graphicFrameLocks noChangeAspect="1"/>
            </wp:cNvGraphicFramePr>
            <a:graphic>
              <a:graphicData uri="http://schemas.openxmlformats.org/drawingml/2006/picture">
                <pic:pic>
                  <pic:nvPicPr>
                    <pic:cNvPr id="0" name="01_sinif_dagilimi.png"/>
                    <pic:cNvPicPr/>
                  </pic:nvPicPr>
                  <pic:blipFill>
                    <a:blip r:embed="rId10"/>
                    <a:stretch>
                      <a:fillRect/>
                    </a:stretch>
                  </pic:blipFill>
                  <pic:spPr>
                    <a:xfrm>
                      <a:off x="0" y="0"/>
                      <a:ext cx="5220000" cy="1898182"/>
                    </a:xfrm>
                    <a:prstGeom prst="rect"/>
                  </pic:spPr>
                </pic:pic>
              </a:graphicData>
            </a:graphic>
          </wp:inline>
        </w:drawing>
      </w:r>
    </w:p>
    <w:p>
      <w:pPr>
        <w:jc w:val="center"/>
      </w:pPr>
      <w:r>
        <w:rPr>
          <w:i/>
          <w:sz w:val="17"/>
        </w:rPr>
        <w:t>Şekil 1 — Hedef sınıf dağılımı ve arıza türü sayıları</w:t>
      </w:r>
    </w:p>
    <w:p>
      <w:pPr>
        <w:pStyle w:val="ListBullet"/>
        <w:spacing w:after="20"/>
      </w:pPr>
      <w:r>
        <w:rPr>
          <w:b w:val="0"/>
        </w:rPr>
        <w:t xml:space="preserve">Arızalı süreçlerde </w:t>
      </w:r>
      <w:r>
        <w:rPr>
          <w:b/>
        </w:rPr>
        <w:t>tork ve takım aşınması</w:t>
      </w:r>
      <w:r>
        <w:rPr>
          <w:b w:val="0"/>
        </w:rPr>
        <w:t xml:space="preserve"> belirgin biçimde daha yüksektir. Devir dağılımı iki uca yayılır (Şekil 2: tork–devir düzlemi). Sıcaklık farkları küçüktür.</w:t>
      </w:r>
    </w:p>
    <w:p>
      <w:pPr>
        <w:pStyle w:val="ListBullet"/>
        <w:spacing w:after="20"/>
      </w:pPr>
      <w:r>
        <w:rPr>
          <w:b w:val="0"/>
        </w:rPr>
        <w:t>Ürün tipine göre arıza oranı: L 3,92 %, M 2,77 %, H 2,09 %.</w:t>
      </w:r>
    </w:p>
    <w:p>
      <w:pPr>
        <w:pStyle w:val="ListBullet"/>
        <w:spacing w:after="20"/>
      </w:pPr>
      <w:r>
        <w:rPr>
          <w:b w:val="0"/>
        </w:rPr>
        <w:t>Hava ve süreç sıcaklıkları güçlü pozitif, devir ve tork güçlü negatif ilişkilidir. Hedefle doğrusal korelasyonlar zayıftır: arıza, uç değer kombinasyonlarında yoğunlaşır.</w:t>
      </w:r>
    </w:p>
    <w:p>
      <w:pPr>
        <w:jc w:val="center"/>
      </w:pPr>
      <w:r>
        <w:drawing>
          <wp:inline xmlns:a="http://schemas.openxmlformats.org/drawingml/2006/main" xmlns:pic="http://schemas.openxmlformats.org/drawingml/2006/picture">
            <wp:extent cx="5580000" cy="2092500"/>
            <wp:docPr id="2" name="Picture 2"/>
            <wp:cNvGraphicFramePr>
              <a:graphicFrameLocks noChangeAspect="1"/>
            </wp:cNvGraphicFramePr>
            <a:graphic>
              <a:graphicData uri="http://schemas.openxmlformats.org/drawingml/2006/picture">
                <pic:pic>
                  <pic:nvPicPr>
                    <pic:cNvPr id="0" name="03_arizayla_iliskili.png"/>
                    <pic:cNvPicPr/>
                  </pic:nvPicPr>
                  <pic:blipFill>
                    <a:blip r:embed="rId11"/>
                    <a:stretch>
                      <a:fillRect/>
                    </a:stretch>
                  </pic:blipFill>
                  <pic:spPr>
                    <a:xfrm>
                      <a:off x="0" y="0"/>
                      <a:ext cx="5580000" cy="2092500"/>
                    </a:xfrm>
                    <a:prstGeom prst="rect"/>
                  </pic:spPr>
                </pic:pic>
              </a:graphicData>
            </a:graphic>
          </wp:inline>
        </w:drawing>
      </w:r>
    </w:p>
    <w:p>
      <w:pPr>
        <w:jc w:val="center"/>
      </w:pPr>
      <w:r>
        <w:rPr>
          <w:i/>
          <w:sz w:val="17"/>
        </w:rPr>
        <w:t>Şekil 2 — Tork–devir düzleminde arızalar ve ürün tipine göre arıza oranı</w:t>
      </w:r>
    </w:p>
    <w:p>
      <w:r>
        <w:rPr>
          <w:b w:val="0"/>
        </w:rPr>
      </w:r>
      <w:r>
        <w:rPr>
          <w:b/>
        </w:rPr>
        <w:t>Ön işleme:</w:t>
      </w:r>
      <w:r>
        <w:rPr>
          <w:b w:val="0"/>
        </w:rPr>
      </w:r>
    </w:p>
    <w:p>
      <w:pPr>
        <w:pStyle w:val="ListBullet"/>
        <w:spacing w:after="20"/>
      </w:pPr>
      <w:r>
        <w:rPr>
          <w:b w:val="0"/>
        </w:rPr>
        <w:t>Eksik değer yoktur.</w:t>
      </w:r>
    </w:p>
    <w:p>
      <w:pPr>
        <w:pStyle w:val="ListBullet"/>
        <w:spacing w:after="20"/>
      </w:pPr>
      <w:r>
        <w:rPr>
          <w:b w:val="0"/>
        </w:rPr>
        <w:t>Aykırı değerler IQR kuralıyla sayıldı. Fiziksel olarak makul oldukları ve arızalar uç bölgelerde yoğunlaştığı için silinmedi.</w:t>
      </w:r>
    </w:p>
    <w:p>
      <w:pPr>
        <w:pStyle w:val="ListBullet"/>
        <w:spacing w:after="20"/>
      </w:pPr>
      <w:r>
        <w:rPr>
          <w:b w:val="0"/>
        </w:rPr>
        <w:t>Aynı andaki ölçümlerden üç özellik türetildi: temp_diff (sıcaklık farkı), power_w (tork × açısal hız) ve strain (aşınma × tork). Bunlar gelecekteki veya arıza sonrasındaki bilgiyi kullanmaz.</w:t>
      </w:r>
    </w:p>
    <w:p>
      <w:pPr>
        <w:pStyle w:val="ListBullet"/>
        <w:spacing w:after="20"/>
      </w:pPr>
      <w:r>
        <w:rPr>
          <w:b w:val="0"/>
        </w:rPr>
        <w:t>Type one-hot kodlandı; sayısal özellikler StandardScaler ile ölçeklendi.</w:t>
      </w:r>
    </w:p>
    <w:p>
      <w:pPr>
        <w:pStyle w:val="ListBullet"/>
        <w:spacing w:after="20"/>
      </w:pPr>
      <w:r>
        <w:rPr>
          <w:b w:val="0"/>
        </w:rPr>
        <w:t>Katmanlı bölme yapıldı (random_state=42): eğitim 6000 (203 arıza), doğrulama 2000 (68), test 2000 (68).</w:t>
      </w:r>
    </w:p>
    <w:p>
      <w:pPr>
        <w:pStyle w:val="ListBullet"/>
        <w:spacing w:after="20"/>
      </w:pPr>
      <w:r>
        <w:rPr>
          <w:b w:val="0"/>
        </w:rPr>
        <w:t>Bütün dönüşümler Pipeline içinde yalnızca eğitim verisine fit edildi. Bu, testlerde ölçekleyici ortalamalarıyla doğrulandı.</w:t>
      </w:r>
    </w:p>
    <w:p>
      <w:pPr>
        <w:spacing w:before="160" w:after="60"/>
      </w:pPr>
      <w:r>
        <w:rPr>
          <w:b/>
          <w:color w:val="00798C"/>
          <w:sz w:val="25"/>
        </w:rPr>
        <w:t>4. Model seçimi ve eğitim</w:t>
      </w:r>
    </w:p>
    <w:tbl>
      <w:tblPr>
        <w:tblStyle w:val="LightGrid-Accent1"/>
        <w:tblW w:type="auto" w:w="0"/>
        <w:tblLook w:firstColumn="1" w:firstRow="1" w:lastColumn="0" w:lastRow="0" w:noHBand="0" w:noVBand="1" w:val="04A0"/>
      </w:tblPr>
      <w:tblGrid>
        <w:gridCol w:w="1928"/>
        <w:gridCol w:w="1928"/>
        <w:gridCol w:w="1928"/>
        <w:gridCol w:w="1928"/>
        <w:gridCol w:w="1928"/>
      </w:tblGrid>
      <w:tr>
        <w:tc>
          <w:tcPr>
            <w:tcW w:type="dxa" w:w="1814"/>
          </w:tcPr>
          <w:p>
            <w:r>
              <w:rPr>
                <w:sz w:val="17"/>
              </w:rPr>
              <w:t>Model</w:t>
            </w:r>
          </w:p>
        </w:tc>
        <w:tc>
          <w:tcPr>
            <w:tcW w:type="dxa" w:w="2041"/>
          </w:tcPr>
          <w:p>
            <w:r>
              <w:rPr>
                <w:sz w:val="17"/>
              </w:rPr>
              <w:t>Özellikler</w:t>
            </w:r>
          </w:p>
        </w:tc>
        <w:tc>
          <w:tcPr>
            <w:tcW w:type="dxa" w:w="680"/>
          </w:tcPr>
          <w:p>
            <w:r>
              <w:rPr>
                <w:sz w:val="17"/>
              </w:rPr>
              <w:t>Izgara</w:t>
            </w:r>
          </w:p>
        </w:tc>
        <w:tc>
          <w:tcPr>
            <w:tcW w:type="dxa" w:w="3402"/>
          </w:tcPr>
          <w:p>
            <w:r>
              <w:rPr>
                <w:sz w:val="17"/>
              </w:rPr>
              <w:t>Seçilen hiperparametreler</w:t>
            </w:r>
          </w:p>
        </w:tc>
        <w:tc>
          <w:tcPr>
            <w:tcW w:type="dxa" w:w="1134"/>
          </w:tcPr>
          <w:p>
            <w:r>
              <w:rPr>
                <w:sz w:val="17"/>
              </w:rPr>
              <w:t>Doğr. PR-AUC</w:t>
            </w:r>
          </w:p>
        </w:tc>
      </w:tr>
      <w:tr>
        <w:tc>
          <w:tcPr>
            <w:tcW w:type="dxa" w:w="1814"/>
          </w:tcPr>
          <w:p>
            <w:r>
              <w:rPr>
                <w:sz w:val="17"/>
              </w:rPr>
              <w:t>LogReg (temel)</w:t>
            </w:r>
          </w:p>
        </w:tc>
        <w:tc>
          <w:tcPr>
            <w:tcW w:type="dxa" w:w="2041"/>
          </w:tcPr>
          <w:p>
            <w:r>
              <w:rPr>
                <w:sz w:val="17"/>
              </w:rPr>
              <w:t>5 sensör + Type</w:t>
            </w:r>
          </w:p>
        </w:tc>
        <w:tc>
          <w:tcPr>
            <w:tcW w:type="dxa" w:w="680"/>
          </w:tcPr>
          <w:p>
            <w:r>
              <w:rPr>
                <w:sz w:val="17"/>
              </w:rPr>
              <w:t>8</w:t>
            </w:r>
          </w:p>
        </w:tc>
        <w:tc>
          <w:tcPr>
            <w:tcW w:type="dxa" w:w="3402"/>
          </w:tcPr>
          <w:p>
            <w:r>
              <w:rPr>
                <w:sz w:val="17"/>
              </w:rPr>
              <w:t>C=1.0, class_weight=None</w:t>
            </w:r>
          </w:p>
        </w:tc>
        <w:tc>
          <w:tcPr>
            <w:tcW w:type="dxa" w:w="1134"/>
          </w:tcPr>
          <w:p>
            <w:r>
              <w:rPr>
                <w:sz w:val="17"/>
              </w:rPr>
              <w:t>0,4054</w:t>
            </w:r>
          </w:p>
        </w:tc>
      </w:tr>
      <w:tr>
        <w:tc>
          <w:tcPr>
            <w:tcW w:type="dxa" w:w="1814"/>
          </w:tcPr>
          <w:p>
            <w:r>
              <w:rPr>
                <w:sz w:val="17"/>
              </w:rPr>
              <w:t>LogReg (+türetilmiş)</w:t>
            </w:r>
          </w:p>
        </w:tc>
        <w:tc>
          <w:tcPr>
            <w:tcW w:type="dxa" w:w="2041"/>
          </w:tcPr>
          <w:p>
            <w:r>
              <w:rPr>
                <w:sz w:val="17"/>
              </w:rPr>
              <w:t>+ temp_diff, power_w, strain</w:t>
            </w:r>
          </w:p>
        </w:tc>
        <w:tc>
          <w:tcPr>
            <w:tcW w:type="dxa" w:w="680"/>
          </w:tcPr>
          <w:p>
            <w:r>
              <w:rPr>
                <w:sz w:val="17"/>
              </w:rPr>
              <w:t>8</w:t>
            </w:r>
          </w:p>
        </w:tc>
        <w:tc>
          <w:tcPr>
            <w:tcW w:type="dxa" w:w="3402"/>
          </w:tcPr>
          <w:p>
            <w:r>
              <w:rPr>
                <w:sz w:val="17"/>
              </w:rPr>
              <w:t>C=1.0, class_weight=None</w:t>
            </w:r>
          </w:p>
        </w:tc>
        <w:tc>
          <w:tcPr>
            <w:tcW w:type="dxa" w:w="1134"/>
          </w:tcPr>
          <w:p>
            <w:r>
              <w:rPr>
                <w:sz w:val="17"/>
              </w:rPr>
              <w:t>0,4725</w:t>
            </w:r>
          </w:p>
        </w:tc>
      </w:tr>
      <w:tr>
        <w:tc>
          <w:tcPr>
            <w:tcW w:type="dxa" w:w="1814"/>
          </w:tcPr>
          <w:p>
            <w:r>
              <w:rPr>
                <w:sz w:val="17"/>
              </w:rPr>
              <w:t>Random Forest</w:t>
            </w:r>
          </w:p>
        </w:tc>
        <w:tc>
          <w:tcPr>
            <w:tcW w:type="dxa" w:w="2041"/>
          </w:tcPr>
          <w:p>
            <w:r>
              <w:rPr>
                <w:sz w:val="17"/>
              </w:rPr>
              <w:t>+ temp_diff, power_w, strain</w:t>
            </w:r>
          </w:p>
        </w:tc>
        <w:tc>
          <w:tcPr>
            <w:tcW w:type="dxa" w:w="680"/>
          </w:tcPr>
          <w:p>
            <w:r>
              <w:rPr>
                <w:sz w:val="17"/>
              </w:rPr>
              <w:t>8</w:t>
            </w:r>
          </w:p>
        </w:tc>
        <w:tc>
          <w:tcPr>
            <w:tcW w:type="dxa" w:w="3402"/>
          </w:tcPr>
          <w:p>
            <w:r>
              <w:rPr>
                <w:sz w:val="17"/>
              </w:rPr>
              <w:t>max_depth=12, min_samples_leaf=1, class_weight=None</w:t>
            </w:r>
          </w:p>
        </w:tc>
        <w:tc>
          <w:tcPr>
            <w:tcW w:type="dxa" w:w="1134"/>
          </w:tcPr>
          <w:p>
            <w:r>
              <w:rPr>
                <w:sz w:val="17"/>
              </w:rPr>
              <w:t>0,8668</w:t>
            </w:r>
          </w:p>
        </w:tc>
      </w:tr>
      <w:tr>
        <w:tc>
          <w:tcPr>
            <w:tcW w:type="dxa" w:w="1814"/>
          </w:tcPr>
          <w:p>
            <w:r>
              <w:rPr>
                <w:sz w:val="17"/>
              </w:rPr>
              <w:t>MLP</w:t>
            </w:r>
          </w:p>
        </w:tc>
        <w:tc>
          <w:tcPr>
            <w:tcW w:type="dxa" w:w="2041"/>
          </w:tcPr>
          <w:p>
            <w:r>
              <w:rPr>
                <w:sz w:val="17"/>
              </w:rPr>
              <w:t>+ temp_diff, power_w, strain</w:t>
            </w:r>
          </w:p>
        </w:tc>
        <w:tc>
          <w:tcPr>
            <w:tcW w:type="dxa" w:w="680"/>
          </w:tcPr>
          <w:p>
            <w:r>
              <w:rPr>
                <w:sz w:val="17"/>
              </w:rPr>
              <w:t>4</w:t>
            </w:r>
          </w:p>
        </w:tc>
        <w:tc>
          <w:tcPr>
            <w:tcW w:type="dxa" w:w="3402"/>
          </w:tcPr>
          <w:p>
            <w:r>
              <w:rPr>
                <w:sz w:val="17"/>
              </w:rPr>
              <w:t>hidden_layer_sizes=(64, 32), alpha=0.001</w:t>
            </w:r>
          </w:p>
        </w:tc>
        <w:tc>
          <w:tcPr>
            <w:tcW w:type="dxa" w:w="1134"/>
          </w:tcPr>
          <w:p>
            <w:r>
              <w:rPr>
                <w:sz w:val="17"/>
              </w:rPr>
              <w:t>0,7231</w:t>
            </w:r>
          </w:p>
        </w:tc>
      </w:tr>
    </w:tbl>
    <w:p>
      <w:pPr>
        <w:spacing w:after="0"/>
      </w:pPr>
    </w:p>
    <w:p>
      <w:r>
        <w:rPr>
          <w:b w:val="0"/>
        </w:rPr>
      </w:r>
      <w:r>
        <w:rPr>
          <w:b/>
        </w:rPr>
        <w:t>Modeller:</w:t>
      </w:r>
      <w:r>
        <w:rPr>
          <w:b w:val="0"/>
        </w:rPr>
      </w:r>
    </w:p>
    <w:p>
      <w:pPr>
        <w:pStyle w:val="ListBullet"/>
        <w:spacing w:after="20"/>
      </w:pPr>
      <w:r>
        <w:rPr>
          <w:b w:val="0"/>
        </w:rPr>
      </w:r>
      <w:r>
        <w:rPr>
          <w:b/>
        </w:rPr>
        <w:t>Logistic Regression:</w:t>
      </w:r>
      <w:r>
        <w:rPr>
          <w:b w:val="0"/>
        </w:rPr>
        <w:t xml:space="preserve"> yorumlanabilir başlangıç modeli; türetilmiş özellikli bir varyantı da denendi.</w:t>
      </w:r>
    </w:p>
    <w:p>
      <w:pPr>
        <w:pStyle w:val="ListBullet"/>
        <w:spacing w:after="20"/>
      </w:pPr>
      <w:r>
        <w:rPr>
          <w:b w:val="0"/>
        </w:rPr>
      </w:r>
      <w:r>
        <w:rPr>
          <w:b/>
        </w:rPr>
        <w:t>Random Forest:</w:t>
      </w:r>
      <w:r>
        <w:rPr>
          <w:b w:val="0"/>
        </w:rPr>
        <w:t xml:space="preserve"> doğrusal olmayan eşik ilişkileri için karşılaştırma modeli; 300 ağaç.</w:t>
      </w:r>
    </w:p>
    <w:p>
      <w:pPr>
        <w:pStyle w:val="ListBullet"/>
        <w:spacing w:after="20"/>
      </w:pPr>
      <w:r>
        <w:rPr>
          <w:b w:val="0"/>
        </w:rPr>
      </w:r>
      <w:r>
        <w:rPr>
          <w:b/>
        </w:rPr>
        <w:t>MLPClassifier:</w:t>
      </w:r>
      <w:r>
        <w:rPr>
          <w:b w:val="0"/>
        </w:rPr>
        <w:t xml:space="preserve"> küçük bir sinir ağı; early stopping kullanıldı, GPU gerekmez.</w:t>
      </w:r>
    </w:p>
    <w:p>
      <w:r>
        <w:rPr>
          <w:b w:val="0"/>
        </w:rPr>
        <w:t xml:space="preserve">Her ızgaradaki modeller eğitim verisinde eğitildi ve </w:t>
      </w:r>
      <w:r>
        <w:rPr>
          <w:b/>
        </w:rPr>
        <w:t>doğrulama PR-AUC</w:t>
      </w:r>
      <w:r>
        <w:rPr>
          <w:b w:val="0"/>
        </w:rPr>
        <w:t xml:space="preserve"> ile seçildi. PR-AUC, dengesiz veride pozitif sınıfa odaklanır. Final model </w:t>
      </w:r>
      <w:r>
        <w:rPr>
          <w:b/>
        </w:rPr>
        <w:t>Random Forest</w:t>
      </w:r>
      <w:r>
        <w:rPr>
          <w:b w:val="0"/>
        </w:rPr>
        <w:t xml:space="preserve">, doğrulama PR-AUC değeri en yüksek olduğu için seçildi. </w:t>
      </w:r>
      <w:r>
        <w:rPr>
          <w:b/>
        </w:rPr>
        <w:t>Test verisi hiçbir seçimde kullanılmadı.</w:t>
      </w:r>
      <w:r>
        <w:rPr>
          <w:b w:val="0"/>
        </w:rPr>
      </w:r>
    </w:p>
    <w:p>
      <w:pPr>
        <w:spacing w:before="160" w:after="60"/>
      </w:pPr>
      <w:r>
        <w:rPr>
          <w:b/>
          <w:color w:val="00798C"/>
          <w:sz w:val="25"/>
        </w:rPr>
        <w:t>5. Değerlendirme sonuçları (test kümesi)</w:t>
      </w:r>
    </w:p>
    <w:tbl>
      <w:tblPr>
        <w:tblStyle w:val="LightGrid-Accent1"/>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2438"/>
          </w:tcPr>
          <w:p>
            <w:r>
              <w:rPr>
                <w:sz w:val="16"/>
              </w:rPr>
              <w:t>Model</w:t>
            </w:r>
          </w:p>
        </w:tc>
        <w:tc>
          <w:tcPr>
            <w:tcW w:type="dxa" w:w="907"/>
          </w:tcPr>
          <w:p>
            <w:r>
              <w:rPr>
                <w:sz w:val="16"/>
              </w:rPr>
              <w:t>Accuracy</w:t>
            </w:r>
          </w:p>
        </w:tc>
        <w:tc>
          <w:tcPr>
            <w:tcW w:type="dxa" w:w="850"/>
          </w:tcPr>
          <w:p>
            <w:r>
              <w:rPr>
                <w:sz w:val="16"/>
              </w:rPr>
              <w:t>Precision</w:t>
            </w:r>
          </w:p>
        </w:tc>
        <w:tc>
          <w:tcPr>
            <w:tcW w:type="dxa" w:w="794"/>
          </w:tcPr>
          <w:p>
            <w:r>
              <w:rPr>
                <w:sz w:val="16"/>
              </w:rPr>
              <w:t>Recall</w:t>
            </w:r>
          </w:p>
        </w:tc>
        <w:tc>
          <w:tcPr>
            <w:tcW w:type="dxa" w:w="737"/>
          </w:tcPr>
          <w:p>
            <w:r>
              <w:rPr>
                <w:sz w:val="16"/>
              </w:rPr>
              <w:t>F1</w:t>
            </w:r>
          </w:p>
        </w:tc>
        <w:tc>
          <w:tcPr>
            <w:tcW w:type="dxa" w:w="850"/>
          </w:tcPr>
          <w:p>
            <w:r>
              <w:rPr>
                <w:sz w:val="16"/>
              </w:rPr>
              <w:t>ROC-AUC</w:t>
            </w:r>
          </w:p>
        </w:tc>
        <w:tc>
          <w:tcPr>
            <w:tcW w:type="dxa" w:w="794"/>
          </w:tcPr>
          <w:p>
            <w:r>
              <w:rPr>
                <w:sz w:val="16"/>
              </w:rPr>
              <w:t>PR-AUC</w:t>
            </w:r>
          </w:p>
        </w:tc>
        <w:tc>
          <w:tcPr>
            <w:tcW w:type="dxa" w:w="510"/>
          </w:tcPr>
          <w:p>
            <w:r>
              <w:rPr>
                <w:sz w:val="16"/>
              </w:rPr>
              <w:t>TP</w:t>
            </w:r>
          </w:p>
        </w:tc>
        <w:tc>
          <w:tcPr>
            <w:tcW w:type="dxa" w:w="510"/>
          </w:tcPr>
          <w:p>
            <w:r>
              <w:rPr>
                <w:sz w:val="16"/>
              </w:rPr>
              <w:t>FN</w:t>
            </w:r>
          </w:p>
        </w:tc>
        <w:tc>
          <w:tcPr>
            <w:tcW w:type="dxa" w:w="510"/>
          </w:tcPr>
          <w:p>
            <w:r>
              <w:rPr>
                <w:sz w:val="16"/>
              </w:rPr>
              <w:t>FP</w:t>
            </w:r>
          </w:p>
        </w:tc>
      </w:tr>
      <w:tr>
        <w:tc>
          <w:tcPr>
            <w:tcW w:type="dxa" w:w="2438"/>
          </w:tcPr>
          <w:p>
            <w:r>
              <w:rPr>
                <w:sz w:val="16"/>
              </w:rPr>
              <w:t>LogReg (temel) (0,5)</w:t>
            </w:r>
          </w:p>
        </w:tc>
        <w:tc>
          <w:tcPr>
            <w:tcW w:type="dxa" w:w="907"/>
          </w:tcPr>
          <w:p>
            <w:r>
              <w:rPr>
                <w:sz w:val="16"/>
              </w:rPr>
              <w:t>0,9685</w:t>
            </w:r>
          </w:p>
        </w:tc>
        <w:tc>
          <w:tcPr>
            <w:tcW w:type="dxa" w:w="850"/>
          </w:tcPr>
          <w:p>
            <w:r>
              <w:rPr>
                <w:sz w:val="16"/>
              </w:rPr>
              <w:t>0,692</w:t>
            </w:r>
          </w:p>
        </w:tc>
        <w:tc>
          <w:tcPr>
            <w:tcW w:type="dxa" w:w="794"/>
          </w:tcPr>
          <w:p>
            <w:r>
              <w:rPr>
                <w:sz w:val="16"/>
              </w:rPr>
              <w:t>0,132</w:t>
            </w:r>
          </w:p>
        </w:tc>
        <w:tc>
          <w:tcPr>
            <w:tcW w:type="dxa" w:w="737"/>
          </w:tcPr>
          <w:p>
            <w:r>
              <w:rPr>
                <w:sz w:val="16"/>
              </w:rPr>
              <w:t>0,222</w:t>
            </w:r>
          </w:p>
        </w:tc>
        <w:tc>
          <w:tcPr>
            <w:tcW w:type="dxa" w:w="850"/>
          </w:tcPr>
          <w:p>
            <w:r>
              <w:rPr>
                <w:sz w:val="16"/>
              </w:rPr>
              <w:t>0,900</w:t>
            </w:r>
          </w:p>
        </w:tc>
        <w:tc>
          <w:tcPr>
            <w:tcW w:type="dxa" w:w="794"/>
          </w:tcPr>
          <w:p>
            <w:r>
              <w:rPr>
                <w:sz w:val="16"/>
              </w:rPr>
              <w:t>0,416</w:t>
            </w:r>
          </w:p>
        </w:tc>
        <w:tc>
          <w:tcPr>
            <w:tcW w:type="dxa" w:w="510"/>
          </w:tcPr>
          <w:p>
            <w:r>
              <w:rPr>
                <w:sz w:val="16"/>
              </w:rPr>
              <w:t>9</w:t>
            </w:r>
          </w:p>
        </w:tc>
        <w:tc>
          <w:tcPr>
            <w:tcW w:type="dxa" w:w="510"/>
          </w:tcPr>
          <w:p>
            <w:r>
              <w:rPr>
                <w:sz w:val="16"/>
              </w:rPr>
              <w:t>59</w:t>
            </w:r>
          </w:p>
        </w:tc>
        <w:tc>
          <w:tcPr>
            <w:tcW w:type="dxa" w:w="510"/>
          </w:tcPr>
          <w:p>
            <w:r>
              <w:rPr>
                <w:sz w:val="16"/>
              </w:rPr>
              <w:t>4</w:t>
            </w:r>
          </w:p>
        </w:tc>
      </w:tr>
      <w:tr>
        <w:tc>
          <w:tcPr>
            <w:tcW w:type="dxa" w:w="2438"/>
          </w:tcPr>
          <w:p>
            <w:r>
              <w:rPr>
                <w:sz w:val="16"/>
              </w:rPr>
              <w:t>LogReg (+türetilmiş) (0,5)</w:t>
            </w:r>
          </w:p>
        </w:tc>
        <w:tc>
          <w:tcPr>
            <w:tcW w:type="dxa" w:w="907"/>
          </w:tcPr>
          <w:p>
            <w:r>
              <w:rPr>
                <w:sz w:val="16"/>
              </w:rPr>
              <w:t>0,9675</w:t>
            </w:r>
          </w:p>
        </w:tc>
        <w:tc>
          <w:tcPr>
            <w:tcW w:type="dxa" w:w="850"/>
          </w:tcPr>
          <w:p>
            <w:r>
              <w:rPr>
                <w:sz w:val="16"/>
              </w:rPr>
              <w:t>0,571</w:t>
            </w:r>
          </w:p>
        </w:tc>
        <w:tc>
          <w:tcPr>
            <w:tcW w:type="dxa" w:w="794"/>
          </w:tcPr>
          <w:p>
            <w:r>
              <w:rPr>
                <w:sz w:val="16"/>
              </w:rPr>
              <w:t>0,176</w:t>
            </w:r>
          </w:p>
        </w:tc>
        <w:tc>
          <w:tcPr>
            <w:tcW w:type="dxa" w:w="737"/>
          </w:tcPr>
          <w:p>
            <w:r>
              <w:rPr>
                <w:sz w:val="16"/>
              </w:rPr>
              <w:t>0,270</w:t>
            </w:r>
          </w:p>
        </w:tc>
        <w:tc>
          <w:tcPr>
            <w:tcW w:type="dxa" w:w="850"/>
          </w:tcPr>
          <w:p>
            <w:r>
              <w:rPr>
                <w:sz w:val="16"/>
              </w:rPr>
              <w:t>0,920</w:t>
            </w:r>
          </w:p>
        </w:tc>
        <w:tc>
          <w:tcPr>
            <w:tcW w:type="dxa" w:w="794"/>
          </w:tcPr>
          <w:p>
            <w:r>
              <w:rPr>
                <w:sz w:val="16"/>
              </w:rPr>
              <w:t>0,464</w:t>
            </w:r>
          </w:p>
        </w:tc>
        <w:tc>
          <w:tcPr>
            <w:tcW w:type="dxa" w:w="510"/>
          </w:tcPr>
          <w:p>
            <w:r>
              <w:rPr>
                <w:sz w:val="16"/>
              </w:rPr>
              <w:t>12</w:t>
            </w:r>
          </w:p>
        </w:tc>
        <w:tc>
          <w:tcPr>
            <w:tcW w:type="dxa" w:w="510"/>
          </w:tcPr>
          <w:p>
            <w:r>
              <w:rPr>
                <w:sz w:val="16"/>
              </w:rPr>
              <w:t>56</w:t>
            </w:r>
          </w:p>
        </w:tc>
        <w:tc>
          <w:tcPr>
            <w:tcW w:type="dxa" w:w="510"/>
          </w:tcPr>
          <w:p>
            <w:r>
              <w:rPr>
                <w:sz w:val="16"/>
              </w:rPr>
              <w:t>9</w:t>
            </w:r>
          </w:p>
        </w:tc>
      </w:tr>
      <w:tr>
        <w:tc>
          <w:tcPr>
            <w:tcW w:type="dxa" w:w="2438"/>
          </w:tcPr>
          <w:p>
            <w:r>
              <w:rPr>
                <w:sz w:val="16"/>
              </w:rPr>
              <w:t>Random Forest (0,5)</w:t>
            </w:r>
          </w:p>
        </w:tc>
        <w:tc>
          <w:tcPr>
            <w:tcW w:type="dxa" w:w="907"/>
          </w:tcPr>
          <w:p>
            <w:r>
              <w:rPr>
                <w:sz w:val="16"/>
              </w:rPr>
              <w:t>0,9920</w:t>
            </w:r>
          </w:p>
        </w:tc>
        <w:tc>
          <w:tcPr>
            <w:tcW w:type="dxa" w:w="850"/>
          </w:tcPr>
          <w:p>
            <w:r>
              <w:rPr>
                <w:sz w:val="16"/>
              </w:rPr>
              <w:t>0,981</w:t>
            </w:r>
          </w:p>
        </w:tc>
        <w:tc>
          <w:tcPr>
            <w:tcW w:type="dxa" w:w="794"/>
          </w:tcPr>
          <w:p>
            <w:r>
              <w:rPr>
                <w:sz w:val="16"/>
              </w:rPr>
              <w:t>0,779</w:t>
            </w:r>
          </w:p>
        </w:tc>
        <w:tc>
          <w:tcPr>
            <w:tcW w:type="dxa" w:w="737"/>
          </w:tcPr>
          <w:p>
            <w:r>
              <w:rPr>
                <w:sz w:val="16"/>
              </w:rPr>
              <w:t>0,869</w:t>
            </w:r>
          </w:p>
        </w:tc>
        <w:tc>
          <w:tcPr>
            <w:tcW w:type="dxa" w:w="850"/>
          </w:tcPr>
          <w:p>
            <w:r>
              <w:rPr>
                <w:sz w:val="16"/>
              </w:rPr>
              <w:t>0,979</w:t>
            </w:r>
          </w:p>
        </w:tc>
        <w:tc>
          <w:tcPr>
            <w:tcW w:type="dxa" w:w="794"/>
          </w:tcPr>
          <w:p>
            <w:r>
              <w:rPr>
                <w:sz w:val="16"/>
              </w:rPr>
              <w:t>0,891</w:t>
            </w:r>
          </w:p>
        </w:tc>
        <w:tc>
          <w:tcPr>
            <w:tcW w:type="dxa" w:w="510"/>
          </w:tcPr>
          <w:p>
            <w:r>
              <w:rPr>
                <w:sz w:val="16"/>
              </w:rPr>
              <w:t>53</w:t>
            </w:r>
          </w:p>
        </w:tc>
        <w:tc>
          <w:tcPr>
            <w:tcW w:type="dxa" w:w="510"/>
          </w:tcPr>
          <w:p>
            <w:r>
              <w:rPr>
                <w:sz w:val="16"/>
              </w:rPr>
              <w:t>15</w:t>
            </w:r>
          </w:p>
        </w:tc>
        <w:tc>
          <w:tcPr>
            <w:tcW w:type="dxa" w:w="510"/>
          </w:tcPr>
          <w:p>
            <w:r>
              <w:rPr>
                <w:sz w:val="16"/>
              </w:rPr>
              <w:t>1</w:t>
            </w:r>
          </w:p>
        </w:tc>
      </w:tr>
      <w:tr>
        <w:tc>
          <w:tcPr>
            <w:tcW w:type="dxa" w:w="2438"/>
          </w:tcPr>
          <w:p>
            <w:r>
              <w:rPr>
                <w:sz w:val="16"/>
              </w:rPr>
              <w:t>MLP (0,5)</w:t>
            </w:r>
          </w:p>
        </w:tc>
        <w:tc>
          <w:tcPr>
            <w:tcW w:type="dxa" w:w="907"/>
          </w:tcPr>
          <w:p>
            <w:r>
              <w:rPr>
                <w:sz w:val="16"/>
              </w:rPr>
              <w:t>0,9790</w:t>
            </w:r>
          </w:p>
        </w:tc>
        <w:tc>
          <w:tcPr>
            <w:tcW w:type="dxa" w:w="850"/>
          </w:tcPr>
          <w:p>
            <w:r>
              <w:rPr>
                <w:sz w:val="16"/>
              </w:rPr>
              <w:t>0,710</w:t>
            </w:r>
          </w:p>
        </w:tc>
        <w:tc>
          <w:tcPr>
            <w:tcW w:type="dxa" w:w="794"/>
          </w:tcPr>
          <w:p>
            <w:r>
              <w:rPr>
                <w:sz w:val="16"/>
              </w:rPr>
              <w:t>0,647</w:t>
            </w:r>
          </w:p>
        </w:tc>
        <w:tc>
          <w:tcPr>
            <w:tcW w:type="dxa" w:w="737"/>
          </w:tcPr>
          <w:p>
            <w:r>
              <w:rPr>
                <w:sz w:val="16"/>
              </w:rPr>
              <w:t>0,677</w:t>
            </w:r>
          </w:p>
        </w:tc>
        <w:tc>
          <w:tcPr>
            <w:tcW w:type="dxa" w:w="850"/>
          </w:tcPr>
          <w:p>
            <w:r>
              <w:rPr>
                <w:sz w:val="16"/>
              </w:rPr>
              <w:t>0,973</w:t>
            </w:r>
          </w:p>
        </w:tc>
        <w:tc>
          <w:tcPr>
            <w:tcW w:type="dxa" w:w="794"/>
          </w:tcPr>
          <w:p>
            <w:r>
              <w:rPr>
                <w:sz w:val="16"/>
              </w:rPr>
              <w:t>0,741</w:t>
            </w:r>
          </w:p>
        </w:tc>
        <w:tc>
          <w:tcPr>
            <w:tcW w:type="dxa" w:w="510"/>
          </w:tcPr>
          <w:p>
            <w:r>
              <w:rPr>
                <w:sz w:val="16"/>
              </w:rPr>
              <w:t>44</w:t>
            </w:r>
          </w:p>
        </w:tc>
        <w:tc>
          <w:tcPr>
            <w:tcW w:type="dxa" w:w="510"/>
          </w:tcPr>
          <w:p>
            <w:r>
              <w:rPr>
                <w:sz w:val="16"/>
              </w:rPr>
              <w:t>24</w:t>
            </w:r>
          </w:p>
        </w:tc>
        <w:tc>
          <w:tcPr>
            <w:tcW w:type="dxa" w:w="510"/>
          </w:tcPr>
          <w:p>
            <w:r>
              <w:rPr>
                <w:sz w:val="16"/>
              </w:rPr>
              <w:t>18</w:t>
            </w:r>
          </w:p>
        </w:tc>
      </w:tr>
      <w:tr>
        <w:tc>
          <w:tcPr>
            <w:tcW w:type="dxa" w:w="2438"/>
          </w:tcPr>
          <w:p>
            <w:r>
              <w:rPr>
                <w:sz w:val="16"/>
              </w:rPr>
              <w:t>Random Forest (eşik 0,23)</w:t>
            </w:r>
          </w:p>
        </w:tc>
        <w:tc>
          <w:tcPr>
            <w:tcW w:type="dxa" w:w="907"/>
          </w:tcPr>
          <w:p>
            <w:r>
              <w:rPr>
                <w:sz w:val="16"/>
              </w:rPr>
              <w:t>0,9910</w:t>
            </w:r>
          </w:p>
        </w:tc>
        <w:tc>
          <w:tcPr>
            <w:tcW w:type="dxa" w:w="850"/>
          </w:tcPr>
          <w:p>
            <w:r>
              <w:rPr>
                <w:sz w:val="16"/>
              </w:rPr>
              <w:t>0,879</w:t>
            </w:r>
          </w:p>
        </w:tc>
        <w:tc>
          <w:tcPr>
            <w:tcW w:type="dxa" w:w="794"/>
          </w:tcPr>
          <w:p>
            <w:r>
              <w:rPr>
                <w:sz w:val="16"/>
              </w:rPr>
              <w:t>0,853</w:t>
            </w:r>
          </w:p>
        </w:tc>
        <w:tc>
          <w:tcPr>
            <w:tcW w:type="dxa" w:w="737"/>
          </w:tcPr>
          <w:p>
            <w:r>
              <w:rPr>
                <w:sz w:val="16"/>
              </w:rPr>
              <w:t>0,866</w:t>
            </w:r>
          </w:p>
        </w:tc>
        <w:tc>
          <w:tcPr>
            <w:tcW w:type="dxa" w:w="850"/>
          </w:tcPr>
          <w:p>
            <w:r>
              <w:rPr>
                <w:sz w:val="16"/>
              </w:rPr>
              <w:t>0,979</w:t>
            </w:r>
          </w:p>
        </w:tc>
        <w:tc>
          <w:tcPr>
            <w:tcW w:type="dxa" w:w="794"/>
          </w:tcPr>
          <w:p>
            <w:r>
              <w:rPr>
                <w:sz w:val="16"/>
              </w:rPr>
              <w:t>0,891</w:t>
            </w:r>
          </w:p>
        </w:tc>
        <w:tc>
          <w:tcPr>
            <w:tcW w:type="dxa" w:w="510"/>
          </w:tcPr>
          <w:p>
            <w:r>
              <w:rPr>
                <w:sz w:val="16"/>
              </w:rPr>
              <w:t>58</w:t>
            </w:r>
          </w:p>
        </w:tc>
        <w:tc>
          <w:tcPr>
            <w:tcW w:type="dxa" w:w="510"/>
          </w:tcPr>
          <w:p>
            <w:r>
              <w:rPr>
                <w:sz w:val="16"/>
              </w:rPr>
              <w:t>10</w:t>
            </w:r>
          </w:p>
        </w:tc>
        <w:tc>
          <w:tcPr>
            <w:tcW w:type="dxa" w:w="510"/>
          </w:tcPr>
          <w:p>
            <w:r>
              <w:rPr>
                <w:sz w:val="16"/>
              </w:rPr>
              <w:t>8</w:t>
            </w:r>
          </w:p>
        </w:tc>
      </w:tr>
      <w:tr>
        <w:tc>
          <w:tcPr>
            <w:tcW w:type="dxa" w:w="2438"/>
          </w:tcPr>
          <w:p>
            <w:r>
              <w:rPr>
                <w:sz w:val="16"/>
              </w:rPr>
              <w:t>Naif 'hep arıza yok'</w:t>
            </w:r>
          </w:p>
        </w:tc>
        <w:tc>
          <w:tcPr>
            <w:tcW w:type="dxa" w:w="907"/>
          </w:tcPr>
          <w:p>
            <w:r>
              <w:rPr>
                <w:sz w:val="16"/>
              </w:rPr>
              <w:t>0,9660</w:t>
            </w:r>
          </w:p>
        </w:tc>
        <w:tc>
          <w:tcPr>
            <w:tcW w:type="dxa" w:w="850"/>
          </w:tcPr>
          <w:p>
            <w:r>
              <w:rPr>
                <w:sz w:val="16"/>
              </w:rPr>
              <w:t>—</w:t>
            </w:r>
          </w:p>
        </w:tc>
        <w:tc>
          <w:tcPr>
            <w:tcW w:type="dxa" w:w="794"/>
          </w:tcPr>
          <w:p>
            <w:r>
              <w:rPr>
                <w:sz w:val="16"/>
              </w:rPr>
              <w:t>0</w:t>
            </w:r>
          </w:p>
        </w:tc>
        <w:tc>
          <w:tcPr>
            <w:tcW w:type="dxa" w:w="737"/>
          </w:tcPr>
          <w:p>
            <w:r>
              <w:rPr>
                <w:sz w:val="16"/>
              </w:rPr>
              <w:t>—</w:t>
            </w:r>
          </w:p>
        </w:tc>
        <w:tc>
          <w:tcPr>
            <w:tcW w:type="dxa" w:w="850"/>
          </w:tcPr>
          <w:p>
            <w:r>
              <w:rPr>
                <w:sz w:val="16"/>
              </w:rPr>
              <w:t>—</w:t>
            </w:r>
          </w:p>
        </w:tc>
        <w:tc>
          <w:tcPr>
            <w:tcW w:type="dxa" w:w="794"/>
          </w:tcPr>
          <w:p>
            <w:r>
              <w:rPr>
                <w:sz w:val="16"/>
              </w:rPr>
              <w:t>—</w:t>
            </w:r>
          </w:p>
        </w:tc>
        <w:tc>
          <w:tcPr>
            <w:tcW w:type="dxa" w:w="510"/>
          </w:tcPr>
          <w:p>
            <w:r>
              <w:rPr>
                <w:sz w:val="16"/>
              </w:rPr>
              <w:t>0</w:t>
            </w:r>
          </w:p>
        </w:tc>
        <w:tc>
          <w:tcPr>
            <w:tcW w:type="dxa" w:w="510"/>
          </w:tcPr>
          <w:p>
            <w:r>
              <w:rPr>
                <w:sz w:val="16"/>
              </w:rPr>
              <w:t>68</w:t>
            </w:r>
          </w:p>
        </w:tc>
        <w:tc>
          <w:tcPr>
            <w:tcW w:type="dxa" w:w="510"/>
          </w:tcPr>
          <w:p>
            <w:r>
              <w:rPr>
                <w:sz w:val="16"/>
              </w:rPr>
              <w:t>0</w:t>
            </w:r>
          </w:p>
        </w:tc>
      </w:tr>
    </w:tbl>
    <w:p>
      <w:pPr>
        <w:spacing w:after="0"/>
      </w:pPr>
    </w:p>
    <w:p>
      <w:pPr>
        <w:jc w:val="center"/>
      </w:pPr>
      <w:r>
        <w:drawing>
          <wp:inline xmlns:a="http://schemas.openxmlformats.org/drawingml/2006/main" xmlns:pic="http://schemas.openxmlformats.org/drawingml/2006/picture">
            <wp:extent cx="5940000" cy="1320000"/>
            <wp:docPr id="3" name="Picture 3"/>
            <wp:cNvGraphicFramePr>
              <a:graphicFrameLocks noChangeAspect="1"/>
            </wp:cNvGraphicFramePr>
            <a:graphic>
              <a:graphicData uri="http://schemas.openxmlformats.org/drawingml/2006/picture">
                <pic:pic>
                  <pic:nvPicPr>
                    <pic:cNvPr id="0" name="05_karisiklik_matrisleri.png"/>
                    <pic:cNvPicPr/>
                  </pic:nvPicPr>
                  <pic:blipFill>
                    <a:blip r:embed="rId12"/>
                    <a:stretch>
                      <a:fillRect/>
                    </a:stretch>
                  </pic:blipFill>
                  <pic:spPr>
                    <a:xfrm>
                      <a:off x="0" y="0"/>
                      <a:ext cx="5940000" cy="1320000"/>
                    </a:xfrm>
                    <a:prstGeom prst="rect"/>
                  </pic:spPr>
                </pic:pic>
              </a:graphicData>
            </a:graphic>
          </wp:inline>
        </w:drawing>
      </w:r>
    </w:p>
    <w:p>
      <w:pPr>
        <w:jc w:val="center"/>
      </w:pPr>
      <w:r>
        <w:rPr>
          <w:i/>
          <w:sz w:val="17"/>
        </w:rPr>
        <w:t>Şekil 3 — Test kümesi karışıklık matrisleri (eşik 0,5)</w:t>
      </w:r>
    </w:p>
    <w:p>
      <w:r>
        <w:rPr>
          <w:b w:val="0"/>
        </w:rPr>
      </w:r>
      <w:r>
        <w:rPr>
          <w:b/>
        </w:rPr>
        <w:t>Accuracy neden yeterli değil?</w:t>
      </w:r>
      <w:r>
        <w:rPr>
          <w:b w:val="0"/>
        </w:rPr>
        <w:t xml:space="preserve"> Her zaman "arıza yok" diyen naif model, hiçbir arızayı yakalamadığı hâlde 0,9660 accuracy alır. Başlangıç modeli LogReg (temel) 0,9685 accuracy'ye rağmen arızaların yalnızca 0,132 oranını yakalar. Dengesiz problemde başarıyı precision, recall, F1 ve PR-AUC gösterir.</w:t>
      </w:r>
    </w:p>
    <w:p>
      <w:pPr>
        <w:spacing w:before="160" w:after="60"/>
      </w:pPr>
      <w:r>
        <w:rPr>
          <w:b/>
          <w:color w:val="00798C"/>
          <w:sz w:val="25"/>
        </w:rPr>
        <w:t>6. Yanlış negatifler ve karar eşiği</w:t>
      </w:r>
    </w:p>
    <w:p>
      <w:r>
        <w:rPr>
          <w:b w:val="0"/>
        </w:rPr>
      </w:r>
      <w:r>
        <w:rPr>
          <w:b/>
        </w:rPr>
        <w:t>Eşik seçimi:</w:t>
      </w:r>
      <w:r>
        <w:rPr>
          <w:b w:val="0"/>
        </w:rPr>
        <w:t xml:space="preserve"> Random Forest için karar eşiği </w:t>
      </w:r>
      <w:r>
        <w:rPr>
          <w:b/>
        </w:rPr>
        <w:t>yalnızca doğrulama verisinde</w:t>
      </w:r>
      <w:r>
        <w:rPr>
          <w:b w:val="0"/>
        </w:rPr>
        <w:t xml:space="preserve"> F2 skorunu en yükseğe çıkaran değer olarak seçildi: </w:t>
      </w:r>
      <w:r>
        <w:rPr>
          <w:b/>
        </w:rPr>
        <w:t>0,23</w:t>
      </w:r>
      <w:r>
        <w:rPr>
          <w:b w:val="0"/>
        </w:rPr>
        <w:t xml:space="preserve">. F2, recall'a iki kat ağırlık verir. Doğrulamada eşik 0,5 iken recall 0,735 ve precision 1,000; seçilen eşikte recall 0,794 ve precision 0,871. Bu eşik test kümesinde </w:t>
      </w:r>
      <w:r>
        <w:rPr>
          <w:b/>
        </w:rPr>
        <w:t>bir kez</w:t>
      </w:r>
      <w:r>
        <w:rPr>
          <w:b w:val="0"/>
        </w:rPr>
        <w:t xml:space="preserve"> uygulandı.</w:t>
      </w:r>
    </w:p>
    <w:p>
      <w:pPr>
        <w:pStyle w:val="ListBullet"/>
        <w:spacing w:after="20"/>
      </w:pPr>
      <w:r>
        <w:rPr>
          <w:b w:val="0"/>
        </w:rPr>
        <w:t xml:space="preserve">Testte 68 gerçek arızadan </w:t>
      </w:r>
      <w:r>
        <w:rPr>
          <w:b/>
        </w:rPr>
        <w:t>10 tanesi kaçırıldı (FN)</w:t>
      </w:r>
      <w:r>
        <w:rPr>
          <w:b w:val="0"/>
        </w:rPr>
        <w:t>. Eşik 0,5'te bu sayı 15 idi.</w:t>
      </w:r>
    </w:p>
    <w:p>
      <w:pPr>
        <w:pStyle w:val="ListBullet"/>
        <w:spacing w:after="20"/>
      </w:pPr>
      <w:r>
        <w:rPr>
          <w:b w:val="0"/>
        </w:rPr>
        <w:t xml:space="preserve">Yanlış negatif oranı FNR = FN / (FN + TP) = </w:t>
      </w:r>
      <w:r>
        <w:rPr>
          <w:b/>
        </w:rPr>
        <w:t>0,147</w:t>
      </w:r>
      <w:r>
        <w:rPr>
          <w:b w:val="0"/>
        </w:rPr>
        <w:t xml:space="preserve"> = 1 − recall (0,853). Recall arttıkça kaçırılan arıza oranı aynı ölçüde azalır.</w:t>
      </w:r>
    </w:p>
    <w:p>
      <w:pPr>
        <w:pStyle w:val="ListBullet"/>
        <w:spacing w:after="20"/>
      </w:pPr>
      <w:r>
        <w:rPr>
          <w:b w:val="0"/>
        </w:rPr>
        <w:t>Bedeli: yanlış alarm (FP) sayısı 1'den 8'e çıktı, precision 0,981'ten 0,879'e düştü.</w:t>
      </w:r>
    </w:p>
    <w:p>
      <w:pPr>
        <w:pStyle w:val="ListBullet"/>
        <w:spacing w:after="20"/>
      </w:pPr>
      <w:r>
        <w:rPr>
          <w:b w:val="0"/>
        </w:rPr>
        <w:t xml:space="preserve">Bakımda bir arızayı kaçırmak ekipman hasarı, plansız duruş ve güvenlik riski yaratabilir. Yanlış alarm ise genellikle gereksiz bir kontrol demektir. Doğru denge gerçek maliyetlere bağlıdır. Gerçek işletme maliyeti bilinmediği için </w:t>
      </w:r>
      <w:r>
        <w:rPr>
          <w:b/>
        </w:rPr>
        <w:t>parasal maliyet hesabı yapılmadı</w:t>
      </w:r>
      <w:r>
        <w:rPr>
          <w:b w:val="0"/>
        </w:rPr>
        <w:t>.</w:t>
      </w:r>
    </w:p>
    <w:p>
      <w:pPr>
        <w:jc w:val="center"/>
      </w:pPr>
      <w:r>
        <w:drawing>
          <wp:inline xmlns:a="http://schemas.openxmlformats.org/drawingml/2006/main" xmlns:pic="http://schemas.openxmlformats.org/drawingml/2006/picture">
            <wp:extent cx="4140000" cy="2318400"/>
            <wp:docPr id="4" name="Picture 4"/>
            <wp:cNvGraphicFramePr>
              <a:graphicFrameLocks noChangeAspect="1"/>
            </wp:cNvGraphicFramePr>
            <a:graphic>
              <a:graphicData uri="http://schemas.openxmlformats.org/drawingml/2006/picture">
                <pic:pic>
                  <pic:nvPicPr>
                    <pic:cNvPr id="0" name="07_esik_dengesi.png"/>
                    <pic:cNvPicPr/>
                  </pic:nvPicPr>
                  <pic:blipFill>
                    <a:blip r:embed="rId13"/>
                    <a:stretch>
                      <a:fillRect/>
                    </a:stretch>
                  </pic:blipFill>
                  <pic:spPr>
                    <a:xfrm>
                      <a:off x="0" y="0"/>
                      <a:ext cx="4140000" cy="2318400"/>
                    </a:xfrm>
                    <a:prstGeom prst="rect"/>
                  </pic:spPr>
                </pic:pic>
              </a:graphicData>
            </a:graphic>
          </wp:inline>
        </w:drawing>
      </w:r>
    </w:p>
    <w:p>
      <w:pPr>
        <w:jc w:val="center"/>
      </w:pPr>
      <w:r>
        <w:rPr>
          <w:i/>
          <w:sz w:val="17"/>
        </w:rPr>
        <w:t>Şekil 4 — Doğrulama kümesinde eşiğe göre precision, recall ve F2</w:t>
      </w:r>
    </w:p>
    <w:p>
      <w:pPr>
        <w:spacing w:before="160" w:after="60"/>
      </w:pPr>
      <w:r>
        <w:rPr>
          <w:b/>
          <w:color w:val="00798C"/>
          <w:sz w:val="25"/>
        </w:rPr>
        <w:t>7. Açıklanabilirlik</w:t>
      </w:r>
    </w:p>
    <w:p>
      <w:pPr>
        <w:pStyle w:val="ListBullet"/>
        <w:spacing w:after="20"/>
      </w:pPr>
      <w:r>
        <w:rPr>
          <w:b w:val="0"/>
        </w:rPr>
      </w:r>
      <w:r>
        <w:rPr>
          <w:b/>
        </w:rPr>
        <w:t>LogReg katsayıları (standartlaştırılmış):</w:t>
      </w:r>
      <w:r>
        <w:rPr>
          <w:b w:val="0"/>
        </w:rPr>
        <w:t xml:space="preserve"> En büyük pozitif katsayılar Torque [Nm] (4,79) ve Rotational speed (2,10), en büyük negatif katsayı power_w (-2,08). Bu üç özellik birbirine bağlı olduğu için (güç = tork × devir) katsayılar tek başına etki büyüklüğü olarak okunmamalıdır. Type one-hot katsayıları birbirine göre yorumlanır.</w:t>
      </w:r>
    </w:p>
    <w:p>
      <w:pPr>
        <w:pStyle w:val="ListBullet"/>
        <w:spacing w:after="20"/>
      </w:pPr>
      <w:r>
        <w:rPr>
          <w:b w:val="0"/>
        </w:rPr>
      </w:r>
      <w:r>
        <w:rPr>
          <w:b/>
        </w:rPr>
        <w:t>Random Forest permutation importance</w:t>
      </w:r>
      <w:r>
        <w:rPr>
          <w:b w:val="0"/>
        </w:rPr>
        <w:t xml:space="preserve"> (doğrulama PR-AUC düşüşü): en önemli özellikler Rotational speed [rpm], power_w, strain, temp_diff. Bu, modelin neye dayandığını gösterir; </w:t>
      </w:r>
      <w:r>
        <w:rPr>
          <w:b/>
        </w:rPr>
        <w:t>nedensellik kanıtı değildir</w:t>
      </w:r>
      <w:r>
        <w:rPr>
          <w:b w:val="0"/>
        </w:rPr>
        <w:t>. İlişkili özellikler önemi aralarında paylaşabilir.</w:t>
      </w:r>
    </w:p>
    <w:p>
      <w:pPr>
        <w:jc w:val="center"/>
      </w:pPr>
      <w:r>
        <w:drawing>
          <wp:inline xmlns:a="http://schemas.openxmlformats.org/drawingml/2006/main" xmlns:pic="http://schemas.openxmlformats.org/drawingml/2006/picture">
            <wp:extent cx="5580000" cy="1931538"/>
            <wp:docPr id="5" name="Picture 5"/>
            <wp:cNvGraphicFramePr>
              <a:graphicFrameLocks noChangeAspect="1"/>
            </wp:cNvGraphicFramePr>
            <a:graphic>
              <a:graphicData uri="http://schemas.openxmlformats.org/drawingml/2006/picture">
                <pic:pic>
                  <pic:nvPicPr>
                    <pic:cNvPr id="0" name="09_ozellik_onemleri.png"/>
                    <pic:cNvPicPr/>
                  </pic:nvPicPr>
                  <pic:blipFill>
                    <a:blip r:embed="rId14"/>
                    <a:stretch>
                      <a:fillRect/>
                    </a:stretch>
                  </pic:blipFill>
                  <pic:spPr>
                    <a:xfrm>
                      <a:off x="0" y="0"/>
                      <a:ext cx="5580000" cy="1931538"/>
                    </a:xfrm>
                    <a:prstGeom prst="rect"/>
                  </pic:spPr>
                </pic:pic>
              </a:graphicData>
            </a:graphic>
          </wp:inline>
        </w:drawing>
      </w:r>
    </w:p>
    <w:p>
      <w:pPr>
        <w:jc w:val="center"/>
      </w:pPr>
      <w:r>
        <w:rPr>
          <w:i/>
          <w:sz w:val="17"/>
        </w:rPr>
        <w:t>Şekil 5 — LogReg katsayıları ve Random Forest permutation importance</w:t>
      </w:r>
    </w:p>
    <w:p>
      <w:pPr>
        <w:spacing w:before="160" w:after="60"/>
      </w:pPr>
      <w:r>
        <w:rPr>
          <w:b/>
          <w:color w:val="00798C"/>
          <w:sz w:val="25"/>
        </w:rPr>
        <w:t>8. Hata analizi</w:t>
      </w:r>
    </w:p>
    <w:tbl>
      <w:tblPr>
        <w:tblStyle w:val="LightGrid-Accent1"/>
        <w:tblW w:type="auto" w:w="0"/>
        <w:tblLook w:firstColumn="1" w:firstRow="1" w:lastColumn="0" w:lastRow="0" w:noHBand="0" w:noVBand="1" w:val="04A0"/>
      </w:tblPr>
      <w:tblGrid>
        <w:gridCol w:w="3213"/>
        <w:gridCol w:w="3213"/>
        <w:gridCol w:w="3213"/>
      </w:tblGrid>
      <w:tr>
        <w:tc>
          <w:tcPr>
            <w:tcW w:type="dxa" w:w="2835"/>
          </w:tcPr>
          <w:p>
            <w:r>
              <w:rPr>
                <w:sz w:val="17"/>
              </w:rPr>
              <w:t>Arıza türü (test)</w:t>
            </w:r>
          </w:p>
        </w:tc>
        <w:tc>
          <w:tcPr>
            <w:tcW w:type="dxa" w:w="1417"/>
          </w:tcPr>
          <w:p>
            <w:r>
              <w:rPr>
                <w:sz w:val="17"/>
              </w:rPr>
              <w:t>Arıza</w:t>
            </w:r>
          </w:p>
        </w:tc>
        <w:tc>
          <w:tcPr>
            <w:tcW w:type="dxa" w:w="1701"/>
          </w:tcPr>
          <w:p>
            <w:r>
              <w:rPr>
                <w:sz w:val="17"/>
              </w:rPr>
              <w:t>Kaçırılan (FN)</w:t>
            </w:r>
          </w:p>
        </w:tc>
      </w:tr>
      <w:tr>
        <w:tc>
          <w:tcPr>
            <w:tcW w:type="dxa" w:w="2835"/>
          </w:tcPr>
          <w:p>
            <w:r>
              <w:rPr>
                <w:sz w:val="17"/>
              </w:rPr>
              <w:t>HDF</w:t>
            </w:r>
          </w:p>
        </w:tc>
        <w:tc>
          <w:tcPr>
            <w:tcW w:type="dxa" w:w="1417"/>
          </w:tcPr>
          <w:p>
            <w:r>
              <w:rPr>
                <w:sz w:val="17"/>
              </w:rPr>
              <w:t>28</w:t>
            </w:r>
          </w:p>
        </w:tc>
        <w:tc>
          <w:tcPr>
            <w:tcW w:type="dxa" w:w="1701"/>
          </w:tcPr>
          <w:p>
            <w:r>
              <w:rPr>
                <w:sz w:val="17"/>
              </w:rPr>
              <w:t>0</w:t>
            </w:r>
          </w:p>
        </w:tc>
      </w:tr>
      <w:tr>
        <w:tc>
          <w:tcPr>
            <w:tcW w:type="dxa" w:w="2835"/>
          </w:tcPr>
          <w:p>
            <w:r>
              <w:rPr>
                <w:sz w:val="17"/>
              </w:rPr>
              <w:t>HDF+PWF</w:t>
            </w:r>
          </w:p>
        </w:tc>
        <w:tc>
          <w:tcPr>
            <w:tcW w:type="dxa" w:w="1417"/>
          </w:tcPr>
          <w:p>
            <w:r>
              <w:rPr>
                <w:sz w:val="17"/>
              </w:rPr>
              <w:t>1</w:t>
            </w:r>
          </w:p>
        </w:tc>
        <w:tc>
          <w:tcPr>
            <w:tcW w:type="dxa" w:w="1701"/>
          </w:tcPr>
          <w:p>
            <w:r>
              <w:rPr>
                <w:sz w:val="17"/>
              </w:rPr>
              <w:t>0</w:t>
            </w:r>
          </w:p>
        </w:tc>
      </w:tr>
      <w:tr>
        <w:tc>
          <w:tcPr>
            <w:tcW w:type="dxa" w:w="2835"/>
          </w:tcPr>
          <w:p>
            <w:r>
              <w:rPr>
                <w:sz w:val="17"/>
              </w:rPr>
              <w:t>OSF</w:t>
            </w:r>
          </w:p>
        </w:tc>
        <w:tc>
          <w:tcPr>
            <w:tcW w:type="dxa" w:w="1417"/>
          </w:tcPr>
          <w:p>
            <w:r>
              <w:rPr>
                <w:sz w:val="17"/>
              </w:rPr>
              <w:t>15</w:t>
            </w:r>
          </w:p>
        </w:tc>
        <w:tc>
          <w:tcPr>
            <w:tcW w:type="dxa" w:w="1701"/>
          </w:tcPr>
          <w:p>
            <w:r>
              <w:rPr>
                <w:sz w:val="17"/>
              </w:rPr>
              <w:t>0</w:t>
            </w:r>
          </w:p>
        </w:tc>
      </w:tr>
      <w:tr>
        <w:tc>
          <w:tcPr>
            <w:tcW w:type="dxa" w:w="2835"/>
          </w:tcPr>
          <w:p>
            <w:r>
              <w:rPr>
                <w:sz w:val="17"/>
              </w:rPr>
              <w:t>PWF</w:t>
            </w:r>
          </w:p>
        </w:tc>
        <w:tc>
          <w:tcPr>
            <w:tcW w:type="dxa" w:w="1417"/>
          </w:tcPr>
          <w:p>
            <w:r>
              <w:rPr>
                <w:sz w:val="17"/>
              </w:rPr>
              <w:t>12</w:t>
            </w:r>
          </w:p>
        </w:tc>
        <w:tc>
          <w:tcPr>
            <w:tcW w:type="dxa" w:w="1701"/>
          </w:tcPr>
          <w:p>
            <w:r>
              <w:rPr>
                <w:sz w:val="17"/>
              </w:rPr>
              <w:t>0</w:t>
            </w:r>
          </w:p>
        </w:tc>
      </w:tr>
      <w:tr>
        <w:tc>
          <w:tcPr>
            <w:tcW w:type="dxa" w:w="2835"/>
          </w:tcPr>
          <w:p>
            <w:r>
              <w:rPr>
                <w:sz w:val="17"/>
              </w:rPr>
              <w:t>TWF</w:t>
            </w:r>
          </w:p>
        </w:tc>
        <w:tc>
          <w:tcPr>
            <w:tcW w:type="dxa" w:w="1417"/>
          </w:tcPr>
          <w:p>
            <w:r>
              <w:rPr>
                <w:sz w:val="17"/>
              </w:rPr>
              <w:t>9</w:t>
            </w:r>
          </w:p>
        </w:tc>
        <w:tc>
          <w:tcPr>
            <w:tcW w:type="dxa" w:w="1701"/>
          </w:tcPr>
          <w:p>
            <w:r>
              <w:rPr>
                <w:sz w:val="17"/>
              </w:rPr>
              <w:t>8</w:t>
            </w:r>
          </w:p>
        </w:tc>
      </w:tr>
      <w:tr>
        <w:tc>
          <w:tcPr>
            <w:tcW w:type="dxa" w:w="2835"/>
          </w:tcPr>
          <w:p>
            <w:r>
              <w:rPr>
                <w:sz w:val="17"/>
              </w:rPr>
              <w:t>TWF+OSF</w:t>
            </w:r>
          </w:p>
        </w:tc>
        <w:tc>
          <w:tcPr>
            <w:tcW w:type="dxa" w:w="1417"/>
          </w:tcPr>
          <w:p>
            <w:r>
              <w:rPr>
                <w:sz w:val="17"/>
              </w:rPr>
              <w:t>1</w:t>
            </w:r>
          </w:p>
        </w:tc>
        <w:tc>
          <w:tcPr>
            <w:tcW w:type="dxa" w:w="1701"/>
          </w:tcPr>
          <w:p>
            <w:r>
              <w:rPr>
                <w:sz w:val="17"/>
              </w:rPr>
              <w:t>0</w:t>
            </w:r>
          </w:p>
        </w:tc>
      </w:tr>
      <w:tr>
        <w:tc>
          <w:tcPr>
            <w:tcW w:type="dxa" w:w="2835"/>
          </w:tcPr>
          <w:p>
            <w:r>
              <w:rPr>
                <w:sz w:val="17"/>
              </w:rPr>
              <w:t>tür yok</w:t>
            </w:r>
          </w:p>
        </w:tc>
        <w:tc>
          <w:tcPr>
            <w:tcW w:type="dxa" w:w="1417"/>
          </w:tcPr>
          <w:p>
            <w:r>
              <w:rPr>
                <w:sz w:val="17"/>
              </w:rPr>
              <w:t>2</w:t>
            </w:r>
          </w:p>
        </w:tc>
        <w:tc>
          <w:tcPr>
            <w:tcW w:type="dxa" w:w="1701"/>
          </w:tcPr>
          <w:p>
            <w:r>
              <w:rPr>
                <w:sz w:val="17"/>
              </w:rPr>
              <w:t>2</w:t>
            </w:r>
          </w:p>
        </w:tc>
      </w:tr>
    </w:tbl>
    <w:p>
      <w:pPr>
        <w:spacing w:after="0"/>
      </w:pPr>
    </w:p>
    <w:p>
      <w:pPr>
        <w:pStyle w:val="ListBullet"/>
        <w:spacing w:after="20"/>
      </w:pPr>
      <w:r>
        <w:rPr>
          <w:b w:val="0"/>
        </w:rPr>
        <w:t xml:space="preserve">Kaçırılan arızaların tamamı şu gruplarda: </w:t>
      </w:r>
      <w:r>
        <w:rPr>
          <w:b/>
        </w:rPr>
        <w:t>TWF, tür yok</w:t>
      </w:r>
      <w:r>
        <w:rPr>
          <w:b w:val="0"/>
        </w:rPr>
        <w:t>. HDF, PWF ve OSF arızalarının hepsi yakalandı.</w:t>
      </w:r>
    </w:p>
    <w:p>
      <w:pPr>
        <w:pStyle w:val="ListBullet"/>
        <w:spacing w:after="20"/>
      </w:pPr>
      <w:r>
        <w:rPr>
          <w:b w:val="0"/>
        </w:rPr>
        <w:t>UCI açıklamasına göre TWF, takım aşınması 200–240 dakika arasındayken rastgele bir anda gerçekleşir. "Tür yok" arızalar ise etiket tutarsızlığıdır. Bu nedenle bu gruplar mevcut özelliklerle ayırt edilemez. Test kümesinde RNF etiketli arıza yoktur.</w:t>
      </w:r>
    </w:p>
    <w:p>
      <w:pPr>
        <w:pStyle w:val="ListBullet"/>
        <w:spacing w:after="20"/>
      </w:pPr>
      <w:r>
        <w:rPr>
          <w:b w:val="0"/>
        </w:rPr>
        <w:t>Yanlış alarm sayısı 8; hiçbirinde arıza türü işareti yok (0). Yanlış alarmlarda ortalama tork 50,8 (doğru negatiflerde 39,5), aşınma 153,4 (107,3): model, arızalı süreçlere benzeyen uç bölgelerde alarm veriyor.</w:t>
      </w:r>
    </w:p>
    <w:p>
      <w:pPr>
        <w:spacing w:before="160" w:after="60"/>
      </w:pPr>
      <w:r>
        <w:rPr>
          <w:b/>
          <w:color w:val="00798C"/>
          <w:sz w:val="25"/>
        </w:rPr>
        <w:t>9. Sonuç ve geliştirme önerileri</w:t>
      </w:r>
    </w:p>
    <w:p>
      <w:r>
        <w:rPr>
          <w:b w:val="0"/>
        </w:rPr>
        <w:t xml:space="preserve">Türetilmiş özelliklerle eğitilen Random Forest, başlangıç modeline göre çok daha iyi sonuç verdi. Test PR-AUC: 0,891'e karşı 0,416. Recall eşik 0,5'te 0,779, doğrulamayla seçilen eşikte 0,853 oldu. </w:t>
      </w:r>
      <w:r>
        <w:rPr>
          <w:b/>
        </w:rPr>
        <w:t>Sınırlar:</w:t>
      </w:r>
      <w:r>
        <w:rPr>
          <w:b w:val="0"/>
        </w:rPr>
      </w:r>
    </w:p>
    <w:p>
      <w:pPr>
        <w:pStyle w:val="ListBullet"/>
        <w:spacing w:after="20"/>
      </w:pPr>
      <w:r>
        <w:rPr>
          <w:b w:val="0"/>
        </w:rPr>
        <w:t>Veri sentetiktir ve arıza kuralları bilinen formüllerle üretilmiştir. Türetilmiş özellikler bu kuralları yansıttığı için gerçek veride performans belirgin biçimde düşebilir.</w:t>
      </w:r>
    </w:p>
    <w:p>
      <w:pPr>
        <w:pStyle w:val="ListBullet"/>
        <w:spacing w:after="20"/>
      </w:pPr>
      <w:r>
        <w:rPr>
          <w:b w:val="0"/>
        </w:rPr>
        <w:t>Zaman boyutu yoktur; model arızadan önce uyarı üretmez, sürecin arızalı olup olmadığını sınıflandırır.</w:t>
      </w:r>
    </w:p>
    <w:p>
      <w:pPr>
        <w:pStyle w:val="ListBullet"/>
        <w:spacing w:after="20"/>
      </w:pPr>
      <w:r>
        <w:rPr>
          <w:b w:val="0"/>
        </w:rPr>
        <w:t>Model ve eşik tek bir bölmeyle seçilmiştir.</w:t>
      </w:r>
    </w:p>
    <w:p>
      <w:pPr>
        <w:pStyle w:val="ListBullet"/>
        <w:spacing w:after="20"/>
      </w:pPr>
      <w:r>
        <w:rPr>
          <w:b w:val="0"/>
        </w:rPr>
        <w:t xml:space="preserve">Bu çalışma </w:t>
      </w:r>
      <w:r>
        <w:rPr>
          <w:b/>
        </w:rPr>
        <w:t>akademik bir prototiptir</w:t>
      </w:r>
      <w:r>
        <w:rPr>
          <w:b w:val="0"/>
        </w:rPr>
        <w:t>; gerçek fabrikalarda doğrudan güvenilir şekilde kullanılabileceği iddia edilmez.</w:t>
      </w:r>
    </w:p>
    <w:p>
      <w:r>
        <w:rPr>
          <w:b w:val="0"/>
        </w:rPr>
      </w:r>
      <w:r>
        <w:rPr>
          <w:b/>
        </w:rPr>
        <w:t>Öneriler:</w:t>
      </w:r>
      <w:r>
        <w:rPr>
          <w:b w:val="0"/>
        </w:rPr>
      </w:r>
    </w:p>
    <w:p>
      <w:pPr>
        <w:pStyle w:val="ListBullet"/>
        <w:spacing w:after="20"/>
      </w:pPr>
      <w:r>
        <w:rPr>
          <w:b w:val="0"/>
        </w:rPr>
        <w:t>Gerçek ve zaman damgalı sensör verisiyle yeniden eğitmek.</w:t>
      </w:r>
    </w:p>
    <w:p>
      <w:pPr>
        <w:pStyle w:val="ListBullet"/>
        <w:spacing w:after="20"/>
      </w:pPr>
      <w:r>
        <w:rPr>
          <w:b w:val="0"/>
        </w:rPr>
        <w:t>Tabakalı çapraz doğrulamayla model ve eşik seçmek.</w:t>
      </w:r>
    </w:p>
    <w:p>
      <w:pPr>
        <w:pStyle w:val="ListBullet"/>
        <w:spacing w:after="20"/>
      </w:pPr>
      <w:r>
        <w:rPr>
          <w:b w:val="0"/>
        </w:rPr>
        <w:t>Maliyet bilgisi varsa eşiği maliyete göre belirlemek.</w:t>
      </w:r>
    </w:p>
    <w:p>
      <w:pPr>
        <w:pStyle w:val="ListBullet"/>
        <w:spacing w:after="20"/>
      </w:pPr>
      <w:r>
        <w:rPr>
          <w:b w:val="0"/>
        </w:rPr>
        <w:t>Olasılık kalibrasyonu yapmak.</w:t>
      </w:r>
    </w:p>
    <w:p>
      <w:pPr>
        <w:pStyle w:val="ListBullet"/>
        <w:spacing w:after="20"/>
      </w:pPr>
      <w:r>
        <w:rPr>
          <w:b w:val="0"/>
        </w:rPr>
        <w:t>Arıza türüne göre çok sınıflı modeller denemek.</w:t>
      </w:r>
    </w:p>
    <w:p>
      <w:r>
        <w:rPr>
          <w:b w:val="0"/>
        </w:rPr>
      </w:r>
      <w:r>
        <w:rPr>
          <w:b/>
        </w:rPr>
        <w:t>Ortam:</w:t>
      </w:r>
      <w:r>
        <w:rPr>
          <w:b w:val="0"/>
        </w:rPr>
        <w:t xml:space="preserve"> Python 3.12.10, scikit-learn 1.9.1, pandas 3.0.6. Geliştirme Claude Code (Anthropic) yardımıyla yapıldı; proje sahibi ve sorumlusu Tugay Sinan Ergün'dür.</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PredictiveMaint AI · Tugay Sinan Ergün · Makine ve Derin Öğrenme Uygulamaları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PredictiveMaint AI Proje Raporu</dc:title>
  <dc:subject/>
  <dc:creator>Tugay Sinan Ergün</dc:creator>
  <cp:keywords/>
  <dc:description>generated by python-docx</dc:description>
  <cp:lastModifiedBy>Tugay Sinan Ergün</cp:lastModifiedBy>
  <cp:revision>1</cp:revision>
  <dcterms:created xsi:type="dcterms:W3CDTF">2026-10-19T12:00:00Z</dcterms:created>
  <dcterms:modified xsi:type="dcterms:W3CDTF">2026-10-19T12:00:00Z</dcterms:modified>
  <cp:category/>
</cp:coreProperties>
</file>