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7C3F58"/>
          <w:sz w:val="44"/>
        </w:rPr>
        <w:t>User Guide</w:t>
      </w:r>
    </w:p>
    <w:p>
      <w:pPr>
        <w:jc w:val="center"/>
      </w:pPr>
      <w:r>
        <w:rPr>
          <w:color w:val="665F69"/>
          <w:sz w:val="21"/>
        </w:rPr>
        <w:t>Using the In The Booth Website Prototype</w:t>
      </w:r>
    </w:p>
    <w:p>
      <w:pPr>
        <w:jc w:val="center"/>
      </w:pPr>
      <w:r>
        <w:rPr>
          <w:color w:val="665F69"/>
          <w:sz w:val="19"/>
        </w:rPr>
        <w:t>McCall Southern Photography • In The Booth • IT299 Final Product</w:t>
      </w:r>
    </w:p>
    <w:p>
      <w:pPr>
        <w:jc w:val="center"/>
      </w:pPr>
      <w:r>
        <w:rPr>
          <w:color w:val="D5A95F"/>
          <w:sz w:val="28"/>
        </w:rPr>
        <w:t>—</w:t>
      </w:r>
    </w:p>
    <w:p>
      <w:r>
        <w:rPr>
          <w:b/>
          <w:color w:val="7C3F58"/>
          <w:sz w:val="28"/>
        </w:rPr>
        <w:t>1. Purpose of the Website</w:t>
      </w:r>
    </w:p>
    <w:p>
      <w:pPr>
        <w:spacing w:after="100" w:line="269" w:lineRule="auto"/>
      </w:pPr>
      <w:r>
        <w:t>The prototype demonstrates how customers could interact with McCall Southern online to discover services, review sample photos, request sessions, order prints, ask for support, and submit touch-up requests.</w:t>
      </w:r>
    </w:p>
    <w:p>
      <w:r>
        <w:rPr>
          <w:b/>
          <w:color w:val="7C3F58"/>
          <w:sz w:val="28"/>
        </w:rPr>
        <w:t>2. How to Navigate the Website</w:t>
      </w:r>
    </w:p>
    <w:p>
      <w:pPr>
        <w:pStyle w:val="ListBullet"/>
        <w:spacing w:after="40"/>
      </w:pPr>
      <w:r>
        <w:t>Start on the Home page to review the company overview and featured capabilities.</w:t>
      </w:r>
    </w:p>
    <w:p>
      <w:pPr>
        <w:pStyle w:val="ListBullet"/>
        <w:spacing w:after="40"/>
      </w:pPr>
      <w:r>
        <w:t>Use the navigation bar at the top of every page to move through the site.</w:t>
      </w:r>
    </w:p>
    <w:p>
      <w:pPr>
        <w:pStyle w:val="ListBullet"/>
        <w:spacing w:after="40"/>
      </w:pPr>
      <w:r>
        <w:t>Use call-to-action buttons to follow common customer journeys such as booking, ordering, payment, and support.</w:t>
      </w:r>
    </w:p>
    <w:p>
      <w:pPr>
        <w:pStyle w:val="ListBullet"/>
        <w:spacing w:after="40"/>
      </w:pPr>
      <w:r>
        <w:t>Use breadcrumbs under the header to confirm which page is open.</w:t>
      </w:r>
    </w:p>
    <w:p>
      <w:r>
        <w:rPr>
          <w:b/>
          <w:color w:val="7C3F58"/>
          <w:sz w:val="28"/>
        </w:rPr>
        <w:t>3. Main User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EDFD9"/>
          </w:tcPr>
          <w:p>
            <w:r>
              <w:t>Task</w:t>
            </w:r>
          </w:p>
        </w:tc>
        <w:tc>
          <w:tcPr>
            <w:tcW w:type="dxa" w:w="3312"/>
            <w:shd w:fill="EEDFD9"/>
          </w:tcPr>
          <w:p>
            <w:r>
              <w:t>Where to Go</w:t>
            </w:r>
          </w:p>
        </w:tc>
        <w:tc>
          <w:tcPr>
            <w:tcW w:type="dxa" w:w="3312"/>
            <w:shd w:fill="EEDFD9"/>
          </w:tcPr>
          <w:p>
            <w:r>
              <w:t>Expected Prototype Behavior</w:t>
            </w:r>
          </w:p>
        </w:tc>
      </w:tr>
      <w:tr>
        <w:tc>
          <w:tcPr>
            <w:tcW w:type="dxa" w:w="3312"/>
          </w:tcPr>
          <w:p>
            <w:r>
              <w:t>Browse work</w:t>
            </w:r>
          </w:p>
        </w:tc>
        <w:tc>
          <w:tcPr>
            <w:tcW w:type="dxa" w:w="3312"/>
          </w:tcPr>
          <w:p>
            <w:r>
              <w:t>Portfolio</w:t>
            </w:r>
          </w:p>
        </w:tc>
        <w:tc>
          <w:tcPr>
            <w:tcW w:type="dxa" w:w="3312"/>
          </w:tcPr>
          <w:p>
            <w:r>
              <w:t>View sample image categories and featured photography</w:t>
            </w:r>
          </w:p>
        </w:tc>
      </w:tr>
      <w:tr>
        <w:tc>
          <w:tcPr>
            <w:tcW w:type="dxa" w:w="3312"/>
          </w:tcPr>
          <w:p>
            <w:r>
              <w:t>Compare offers</w:t>
            </w:r>
          </w:p>
        </w:tc>
        <w:tc>
          <w:tcPr>
            <w:tcW w:type="dxa" w:w="3312"/>
          </w:tcPr>
          <w:p>
            <w:r>
              <w:t>Packages</w:t>
            </w:r>
          </w:p>
        </w:tc>
        <w:tc>
          <w:tcPr>
            <w:tcW w:type="dxa" w:w="3312"/>
          </w:tcPr>
          <w:p>
            <w:r>
              <w:t>Review package cards and choose a plan</w:t>
            </w:r>
          </w:p>
        </w:tc>
      </w:tr>
      <w:tr>
        <w:tc>
          <w:tcPr>
            <w:tcW w:type="dxa" w:w="3312"/>
          </w:tcPr>
          <w:p>
            <w:r>
              <w:t>Schedule a session</w:t>
            </w:r>
          </w:p>
        </w:tc>
        <w:tc>
          <w:tcPr>
            <w:tcW w:type="dxa" w:w="3312"/>
          </w:tcPr>
          <w:p>
            <w:r>
              <w:t>Booking</w:t>
            </w:r>
          </w:p>
        </w:tc>
        <w:tc>
          <w:tcPr>
            <w:tcW w:type="dxa" w:w="3312"/>
          </w:tcPr>
          <w:p>
            <w:r>
              <w:t>Fill out booking form fields and move to confirmation</w:t>
            </w:r>
          </w:p>
        </w:tc>
      </w:tr>
      <w:tr>
        <w:tc>
          <w:tcPr>
            <w:tcW w:type="dxa" w:w="3312"/>
          </w:tcPr>
          <w:p>
            <w:r>
              <w:t>Order products</w:t>
            </w:r>
          </w:p>
        </w:tc>
        <w:tc>
          <w:tcPr>
            <w:tcW w:type="dxa" w:w="3312"/>
          </w:tcPr>
          <w:p>
            <w:r>
              <w:t>Cart and Payment</w:t>
            </w:r>
          </w:p>
        </w:tc>
        <w:tc>
          <w:tcPr>
            <w:tcW w:type="dxa" w:w="3312"/>
          </w:tcPr>
          <w:p>
            <w:r>
              <w:t>Review mock cart items and continue to payment</w:t>
            </w:r>
          </w:p>
        </w:tc>
      </w:tr>
      <w:tr>
        <w:tc>
          <w:tcPr>
            <w:tcW w:type="dxa" w:w="3312"/>
          </w:tcPr>
          <w:p>
            <w:r>
              <w:t>Request edits</w:t>
            </w:r>
          </w:p>
        </w:tc>
        <w:tc>
          <w:tcPr>
            <w:tcW w:type="dxa" w:w="3312"/>
          </w:tcPr>
          <w:p>
            <w:r>
              <w:t>Touch-Up Requests and Crop Tool</w:t>
            </w:r>
          </w:p>
        </w:tc>
        <w:tc>
          <w:tcPr>
            <w:tcW w:type="dxa" w:w="3312"/>
          </w:tcPr>
          <w:p>
            <w:r>
              <w:t>Enter retouch notes and view crop interface</w:t>
            </w:r>
          </w:p>
        </w:tc>
      </w:tr>
      <w:tr>
        <w:tc>
          <w:tcPr>
            <w:tcW w:type="dxa" w:w="3312"/>
          </w:tcPr>
          <w:p>
            <w:r>
              <w:t>Ask questions</w:t>
            </w:r>
          </w:p>
        </w:tc>
        <w:tc>
          <w:tcPr>
            <w:tcW w:type="dxa" w:w="3312"/>
          </w:tcPr>
          <w:p>
            <w:r>
              <w:t>Support and Contact</w:t>
            </w:r>
          </w:p>
        </w:tc>
        <w:tc>
          <w:tcPr>
            <w:tcW w:type="dxa" w:w="3312"/>
          </w:tcPr>
          <w:p>
            <w:r>
              <w:t>Review FAQs, sample chat widget, and contact form</w:t>
            </w:r>
          </w:p>
        </w:tc>
      </w:tr>
    </w:tbl>
    <w:p>
      <w:r>
        <w:rPr>
          <w:b/>
          <w:color w:val="7C3F58"/>
          <w:sz w:val="28"/>
        </w:rPr>
        <w:t>4. Important Prototype Note</w:t>
      </w:r>
    </w:p>
    <w:p>
      <w:pPr>
        <w:spacing w:after="100" w:line="269" w:lineRule="auto"/>
      </w:pPr>
      <w:r>
        <w:t>All forms and transaction steps are illustrative. They are included to show the full user interface and customer journey, but they do not submit real data.</w:t>
      </w:r>
    </w:p>
    <w:p>
      <w:r>
        <w:rPr>
          <w:b/>
          <w:color w:val="7C3F58"/>
          <w:sz w:val="28"/>
        </w:rPr>
        <w:t>5. Best Way to Evaluate the Product</w:t>
      </w:r>
    </w:p>
    <w:p>
      <w:pPr>
        <w:pStyle w:val="ListBullet"/>
        <w:spacing w:after="40"/>
      </w:pPr>
      <w:r>
        <w:t>Check whether all required pages are accessible from internal navigation.</w:t>
      </w:r>
    </w:p>
    <w:p>
      <w:pPr>
        <w:pStyle w:val="ListBullet"/>
        <w:spacing w:after="40"/>
      </w:pPr>
      <w:r>
        <w:t>Review consistency of the header, footer, colors, and buttons.</w:t>
      </w:r>
    </w:p>
    <w:p>
      <w:pPr>
        <w:pStyle w:val="ListBullet"/>
        <w:spacing w:after="40"/>
      </w:pPr>
      <w:r>
        <w:t>Confirm that all required UI elements are visible on the appropriate pages.</w:t>
      </w:r>
    </w:p>
    <w:p>
      <w:pPr>
        <w:pStyle w:val="ListBullet"/>
        <w:spacing w:after="40"/>
      </w:pPr>
      <w:r>
        <w:t>Confirm that the layout remains clean across desktop and mobile-sized windows.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3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