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骑士数字外汇制度模式</w:t>
      </w:r>
    </w:p>
    <w:p>
      <w:pPr>
        <w:numPr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PART1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投资托管金额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（静态）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10美金起托管；本金随进出，每日发放奖励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日收益率0.5-1.3%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，收益以自然日计算；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购买骑士数字机器人增长日收益的30%以上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复利公式：年收益10保底！本金随进随出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托管未满七天者退出违约金2%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（本金+利润）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，所有违约金将进入生态基金池，满七天零违约金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功能详解：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对存入的本金进行提现操作即视为退出；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未满七天的时间以自然周计算；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利息如果不提现的话，则自动以复利的方式计算收益；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购买机器人算做业绩；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利率每日根据程序的设定，自动在取值范围内（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0.5-1.3%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）进行浮动；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静态算复利，动态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与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机器人不计算复利，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自己可以手动托管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推广门槛购买数字机器人日收益增长30%，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以当日利率为基准进行增长。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PART2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社区推广收益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（动态）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一、数字机器人推广奖：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购买300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数字机器人获得社区推广权益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直接推广1位购买300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数字机器人直接奖励10%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 xml:space="preserve">推广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1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位购买；直推奖励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，30$;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2 位购买；直推奖励20%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，6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0$;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3 位购买；直推奖励30%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，9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0$;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4 位购买；直推奖励40%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，12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0$;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5 位购买；直推奖励50%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，15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0$;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推广第6 位购买开始每直推1位多拿1位奖励50%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（150$）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最高直推奖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推广收益获取的前置条件为该用户购买了机器人，反之如果当前用户未购买机器人，其推荐的下级购买机器人的时，当前账户无法拿到得到推广奖；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后期模式待定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，可能两个月做高30%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社区代数奖：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奖励机制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直推1位；拿1代收益的50%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直推2位；拿2代收益的25%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直推3位；拿3代收益的12.5%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每直推1位社区300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机器人加1代，每代减半以此类推 10代封顶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每直推一位社区（即购买了机器人的用户）可以多拿一代的收益，如果直推的用户未购买机器人，则无法增加获取收益的代数。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当前用户购买机器人即可获取下级收益，下级用户无需购买。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收益只计算静态收益，即本金的投资托管产生的收益。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社区团队奖：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奖励机制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初级社区:直推10位社区，社区业绩达到3万$，拿整个社区收益的7%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中级社区: 直推2个初级社区，拿整个社区收益的12%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高级社区: 直推2个中级社区，拿整个社区收益的17%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超级社区: 直推2个高级社区，拿整个社区收益的22%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特级社区: 直推2个超级社区，拿整个社区收益的27%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所有社区有级差制，无平级奖励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业绩仅计算入金，即用户的实际充值金额，静态收益（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投资托管产生的收益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）不纳入业绩的统计范畴。</w:t>
      </w:r>
    </w:p>
    <w:p>
      <w:pPr>
        <w:numPr>
          <w:ilvl w:val="0"/>
          <w:numId w:val="7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业绩基于入金计算，当用户提出入金时，业绩就减少。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特级社区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特殊奖励机制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以上额外享受所有社区收益的3%平均分红(无级差)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达到特级社区可申请成为平台超级节点政策；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成为节点后享有分红、线上线下相关分红等福利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独立开线分红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PART3 第二阶段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数字现货；月稳定收益率30%，年化收益率360%，现货合约周期45天！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数字基金；月稳定收益率60%，年化收益率720%，周期合约周期 90天！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投资门槛：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账户总盈利赚一倍以上的用户可投资数字基金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优先获得骑士平台发行数字代币ido认购资格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稳定日化收益率2%，周14%月60%年720%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注：周期未满首月退出违约金20%，二月10%，三月5%，所有违约金将进入生态池，满周期退出零违约金！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eastAsia="zh-CN"/>
      </w:rPr>
      <w:t>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62FB3"/>
    <w:multiLevelType w:val="singleLevel"/>
    <w:tmpl w:val="9B662F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DB273B"/>
    <w:multiLevelType w:val="singleLevel"/>
    <w:tmpl w:val="A1DB27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7C7F664"/>
    <w:multiLevelType w:val="singleLevel"/>
    <w:tmpl w:val="C7C7F6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B962370"/>
    <w:multiLevelType w:val="singleLevel"/>
    <w:tmpl w:val="CB962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8F1AB3"/>
    <w:multiLevelType w:val="singleLevel"/>
    <w:tmpl w:val="218F1A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AC1346E"/>
    <w:multiLevelType w:val="singleLevel"/>
    <w:tmpl w:val="3AC134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78A3C55"/>
    <w:multiLevelType w:val="singleLevel"/>
    <w:tmpl w:val="478A3C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ACAADEC"/>
    <w:multiLevelType w:val="singleLevel"/>
    <w:tmpl w:val="4ACAADE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16F85AE"/>
    <w:multiLevelType w:val="singleLevel"/>
    <w:tmpl w:val="616F85A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2869C47"/>
    <w:multiLevelType w:val="singleLevel"/>
    <w:tmpl w:val="72869C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zMWVmYTc2N2U3M2YyYjQzYTY5NTU2YWU1MDhiOWIifQ=="/>
  </w:docVars>
  <w:rsids>
    <w:rsidRoot w:val="08AC7729"/>
    <w:rsid w:val="08AC7729"/>
    <w:rsid w:val="4D3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1260</Words>
  <Characters>1521</Characters>
  <Lines>0</Lines>
  <Paragraphs>0</Paragraphs>
  <TotalTime>12</TotalTime>
  <ScaleCrop>false</ScaleCrop>
  <LinksUpToDate>false</LinksUpToDate>
  <CharactersWithSpaces>1543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2022-09-05T09:08:00Z</dcterms:created>
  <dc:creator>干支</dc:creator>
  <cp:lastModifiedBy>干支</cp:lastModifiedBy>
  <dcterms:modified xsi:type="dcterms:W3CDTF">2022-09-07T11:32:07Z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29668866200E496C827C02B32D6903DB</vt:lpwstr>
  </property>
</Properties>
</file>