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骑士数字外汇制度模式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PART1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投资托管金额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（静态）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10美金起托管；本金随进出，每日发放奖励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日收益率0.5-1.3%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，收益以自然日计算；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购买骑士数字机器人增长日收益的30%以上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复利公式：年收益10保底！本金随进随出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托管未满七天者退出违约金2%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（本金+利润）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，所有违约金将进入生态基金池，满七天零违约金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提现收取1%手续费，手续费不低于1U。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功能详解：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对存入的本金进行提现操作即视为退出；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未满七天的时间以自然周计算；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利息如果不提现的话，则自动以复利的方式计算收益；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购买机器人算做业绩；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利率每日根据程序的设定，自动在取值范围内（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0.5-1.3%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）进行浮动；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0.5概率70%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0.6概率10%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0.7概率10%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超出其他占10%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静态算复利，动态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与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机器人不计算复利，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用户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自己可以手动托管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推广门槛购买数字机器人日收益增长30%，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以当日利率为基准进行增长。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提现手续费不低于1U，如果用户提款额度小于100，也收取1U手续费。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PART2 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社区推广收益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（动态）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一、数字机器人推广奖：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购买300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数字机器人获得社区推广权益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直接推广1位购买300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数字机器人直接奖励10%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 xml:space="preserve">推广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1 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位购买；直推奖励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，30$;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 2 位购买；直推奖励20%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，60$;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 3 位购买；直推奖励30%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，90$;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 4 位购买；直推奖励40%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，120$;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 5 位购买；直推奖励50%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，150$;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推广第6 位购买开始每直推1位多拿1位奖励50%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（150$）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最高直推奖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，无上限推广。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推广收益获取的前置条件为该用户购买了机器人，反之如果当前用户未购买机器人，其推荐的下级购买机器人的时，当前账户无法拿到得到推广奖；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如当前用户未购买机器人，其下级存在已购买机器人的用户。当前用户将会进入待领取7天，此时显示5位以上奖励50%即150$，当本人购买300$机器人后可获得收益;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托管金额绑定机器人，只有购买了机器人之后，才可以托管与之对应的资金额度。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未购买机器人的用户投资额度上限5000$;</w:t>
      </w:r>
      <w:bookmarkStart w:id="0" w:name="_GoBack"/>
      <w:bookmarkEnd w:id="0"/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机器人300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$对应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5000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内投资托管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，超出额度需升级机器人；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机器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人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500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$对应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1w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内投资托管，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超出额度需升级机器人；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机器人1500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合适5w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内投资托管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，超出额度需升级机器人；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机器人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3000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，投资托管金额无上限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后期模式待定，可能两个月平台代币发行上线推广机器人最高奖励降为10、15、20、25、30、做高30%封顶。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机器人的升级无需重复购买，只需要补足当前机器人级别与目标机器人级别之间的差价。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社区代数奖：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奖励机制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直推1位；拿1代收益的50%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直推2位；拿2代收益的25%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直推3位；拿3代收益的12.5%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每直推1位社区300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$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机器人加1代，每代减半以此类推 10代封顶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每直推一位社区（即购买了机器人的用户）可以多拿一代的收益，如果直推的用户未购买机器人，则无法增加获取收益的代数。</w:t>
      </w:r>
    </w:p>
    <w:p>
      <w:pPr>
        <w:numPr>
          <w:ilvl w:val="0"/>
          <w:numId w:val="7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收益只计算静态收益，即本金的投资托管产生的收益。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四、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社区团队奖：</w:t>
      </w:r>
    </w:p>
    <w:p>
      <w:pPr>
        <w:numPr>
          <w:ilvl w:val="0"/>
          <w:numId w:val="9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shd w:val="clear" w:color="FFFFFF" w:fill="D9D9D9"/>
          <w:lang w:val="en-US" w:eastAsia="zh-CN"/>
        </w:rPr>
        <w:t>奖励机制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初级社区:直推10位社区，社区业绩达到3万$，拿整个社区收益的7%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 xml:space="preserve">中级社区: 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其下三条线各出1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个初级社区，拿整个社区收益的12%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 xml:space="preserve">高级社区: 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其下三条线各出1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个中级社区，拿整个社区收益的17%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 xml:space="preserve">超级社区: 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其下三条线各出1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个高级社区，拿整个社区收益的22%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 xml:space="preserve">特级社区: </w:t>
      </w:r>
      <w:r>
        <w:rPr>
          <w:rFonts w:hint="eastAsia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其下三条线各出1</w:t>
      </w: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个超级社区，拿整个社区收益的27%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shd w:val="clear" w:color="FFFFFF" w:fill="D9D9D9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shd w:val="clear" w:color="FFFFFF" w:fill="D9D9D9"/>
          <w:lang w:val="en-US" w:eastAsia="zh-CN"/>
        </w:rPr>
        <w:t>所有社区有级差制，无平级奖励</w:t>
      </w:r>
    </w:p>
    <w:p>
      <w:pPr>
        <w:numPr>
          <w:ilvl w:val="0"/>
          <w:numId w:val="9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业绩仅计算入金，即用户的实际充值金额，静态收益（投资托管产生的收益）不纳入业绩的统计范畴。</w:t>
      </w:r>
    </w:p>
    <w:p>
      <w:pPr>
        <w:numPr>
          <w:ilvl w:val="0"/>
          <w:numId w:val="9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业绩基于入金计算，当用户提出入金时，业绩就减少。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五、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特级社区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特殊奖励机制</w:t>
      </w:r>
    </w:p>
    <w:p>
      <w:pPr>
        <w:numPr>
          <w:ilvl w:val="0"/>
          <w:numId w:val="11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以上额外享受所有社区收益的3%平均分红(无级差)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；</w:t>
      </w:r>
    </w:p>
    <w:p>
      <w:pPr>
        <w:numPr>
          <w:ilvl w:val="0"/>
          <w:numId w:val="11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达到特级社区可申请成为平台超级节点政策；</w:t>
      </w:r>
    </w:p>
    <w:p>
      <w:pPr>
        <w:numPr>
          <w:ilvl w:val="0"/>
          <w:numId w:val="11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成为节点后享有分红、线上线下相关分红等福利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；</w:t>
      </w:r>
    </w:p>
    <w:p>
      <w:pPr>
        <w:numPr>
          <w:ilvl w:val="0"/>
          <w:numId w:val="11"/>
        </w:numPr>
        <w:ind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独立开线分红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PART3 第二阶段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数字现货；月稳定收益率30%，年化收益率360%，现货合约周期45天！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数字基金；月稳定收益率60%，年化收益率720%，周期合约周期 90天！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投资门槛：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账户总盈利赚一倍以上的用户可投资数字基金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优先获得骑士平台发行数字代币ido认购资格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稳定日化收益率2%，周14%月60%年720%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注：周期未满首月退出违约金20%，二月10%，三月5%，所有违约金将进入生态池，满周期退出零违约金！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62FB3"/>
    <w:multiLevelType w:val="singleLevel"/>
    <w:tmpl w:val="9B662F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DB273B"/>
    <w:multiLevelType w:val="singleLevel"/>
    <w:tmpl w:val="A1DB27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7C7F664"/>
    <w:multiLevelType w:val="singleLevel"/>
    <w:tmpl w:val="C7C7F6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B962370"/>
    <w:multiLevelType w:val="singleLevel"/>
    <w:tmpl w:val="CB962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18F1AB3"/>
    <w:multiLevelType w:val="singleLevel"/>
    <w:tmpl w:val="218F1A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9D6EBDC"/>
    <w:multiLevelType w:val="singleLevel"/>
    <w:tmpl w:val="29D6EB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18A43CC"/>
    <w:multiLevelType w:val="singleLevel"/>
    <w:tmpl w:val="318A43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AC1346E"/>
    <w:multiLevelType w:val="singleLevel"/>
    <w:tmpl w:val="3AC134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78A3C55"/>
    <w:multiLevelType w:val="singleLevel"/>
    <w:tmpl w:val="478A3C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ACAADEC"/>
    <w:multiLevelType w:val="singleLevel"/>
    <w:tmpl w:val="4ACAADE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16F85AE"/>
    <w:multiLevelType w:val="singleLevel"/>
    <w:tmpl w:val="616F85A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2869C47"/>
    <w:multiLevelType w:val="singleLevel"/>
    <w:tmpl w:val="72869C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zMWVmYTc2N2U3M2YyYjQzYTY5NTU2YWU1MDhiOWIifQ=="/>
  </w:docVars>
  <w:rsids>
    <w:rsidRoot w:val="08AC7729"/>
    <w:rsid w:val="08AC7729"/>
    <w:rsid w:val="3B1F3B0E"/>
    <w:rsid w:val="4D304C7E"/>
    <w:rsid w:val="4EF232B3"/>
    <w:rsid w:val="579B3165"/>
    <w:rsid w:val="5AA7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1517</Words>
  <Characters>1688</Characters>
  <Lines>0</Lines>
  <Paragraphs>0</Paragraphs>
  <TotalTime>41367</TotalTime>
  <ScaleCrop>false</ScaleCrop>
  <LinksUpToDate>false</LinksUpToDate>
  <CharactersWithSpaces>1708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2022-09-05T09:08:00Z</dcterms:created>
  <dc:creator>干支</dc:creator>
  <cp:lastModifiedBy>Administrator</cp:lastModifiedBy>
  <dcterms:modified xsi:type="dcterms:W3CDTF">2022-10-11T01:50:58Z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  <property fmtid="{D5CDD505-2E9C-101B-9397-08002B2CF9AE}" pid="3" name="ICV">
    <vt:lpwstr>29668866200E496C827C02B32D6903DB</vt:lpwstr>
  </property>
</Properties>
</file>