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4C6" w:rsidRPr="00024B55" w:rsidRDefault="00757940" w:rsidP="001D24C6">
      <w:pPr>
        <w:spacing w:line="240" w:lineRule="auto"/>
        <w:jc w:val="center"/>
        <w:rPr>
          <w:rFonts w:ascii="Times New Roman" w:eastAsia="Times New Roman" w:hAnsi="Times New Roman" w:cs="Times New Roman"/>
          <w:sz w:val="28"/>
          <w:szCs w:val="28"/>
        </w:rPr>
      </w:pPr>
      <w:r w:rsidRPr="00757940">
        <w:rPr>
          <w:rFonts w:ascii="Calibri" w:hAnsi="Calibri" w:cs="Calibri"/>
          <w:b/>
          <w:sz w:val="28"/>
        </w:rPr>
        <w:t>Exosomes Market</w:t>
      </w:r>
      <w:r w:rsidRPr="00757940">
        <w:rPr>
          <w:rFonts w:ascii="Calibri" w:hAnsi="Calibri" w:cs="Calibri"/>
          <w:sz w:val="28"/>
        </w:rPr>
        <w:t xml:space="preserve"> </w:t>
      </w:r>
      <w:r w:rsidR="001D24C6" w:rsidRPr="00D01C1B">
        <w:rPr>
          <w:rFonts w:ascii="Calibri" w:eastAsia="Times New Roman" w:hAnsi="Calibri" w:cs="Calibri"/>
          <w:b/>
          <w:bCs/>
          <w:color w:val="000000"/>
          <w:sz w:val="28"/>
          <w:szCs w:val="28"/>
        </w:rPr>
        <w:t>Size</w:t>
      </w:r>
      <w:r w:rsidR="001D24C6" w:rsidRPr="00024B55">
        <w:rPr>
          <w:rFonts w:ascii="Calibri" w:eastAsia="Times New Roman" w:hAnsi="Calibri" w:cs="Calibri"/>
          <w:b/>
          <w:bCs/>
          <w:color w:val="000000"/>
          <w:sz w:val="28"/>
          <w:szCs w:val="28"/>
        </w:rPr>
        <w:t xml:space="preserve"> to Reach </w:t>
      </w:r>
      <w:r w:rsidR="001D24C6" w:rsidRPr="00CC6A2B">
        <w:rPr>
          <w:rFonts w:eastAsiaTheme="minorEastAsia"/>
          <w:b/>
          <w:sz w:val="28"/>
          <w:lang w:val="en-IN"/>
        </w:rPr>
        <w:t xml:space="preserve">USD </w:t>
      </w:r>
      <w:r w:rsidR="00425B21">
        <w:rPr>
          <w:rFonts w:eastAsiaTheme="minorEastAsia" w:cstheme="minorHAnsi"/>
          <w:b/>
          <w:sz w:val="28"/>
          <w:lang w:val="en-IN"/>
        </w:rPr>
        <w:t>2,210</w:t>
      </w:r>
      <w:r w:rsidR="003569D9">
        <w:rPr>
          <w:rFonts w:eastAsiaTheme="minorEastAsia" w:cstheme="minorHAnsi"/>
          <w:b/>
          <w:sz w:val="28"/>
          <w:lang w:val="en-IN"/>
        </w:rPr>
        <w:t>.</w:t>
      </w:r>
      <w:r w:rsidR="00425B21">
        <w:rPr>
          <w:rFonts w:eastAsiaTheme="minorEastAsia" w:cstheme="minorHAnsi"/>
          <w:b/>
          <w:sz w:val="28"/>
          <w:lang w:val="en-IN"/>
        </w:rPr>
        <w:t>4</w:t>
      </w:r>
      <w:r w:rsidR="001D24C6" w:rsidRPr="00960685">
        <w:rPr>
          <w:rFonts w:eastAsiaTheme="minorEastAsia" w:cstheme="minorHAnsi"/>
          <w:sz w:val="28"/>
          <w:lang w:val="en-IN"/>
        </w:rPr>
        <w:t xml:space="preserve"> </w:t>
      </w:r>
      <w:r w:rsidR="00425B21">
        <w:rPr>
          <w:rFonts w:eastAsiaTheme="minorEastAsia"/>
          <w:b/>
          <w:sz w:val="28"/>
          <w:lang w:val="en-IN"/>
        </w:rPr>
        <w:t>M</w:t>
      </w:r>
      <w:r w:rsidR="001D24C6" w:rsidRPr="00CC6A2B">
        <w:rPr>
          <w:rFonts w:eastAsiaTheme="minorEastAsia"/>
          <w:b/>
          <w:sz w:val="28"/>
          <w:lang w:val="en-IN"/>
        </w:rPr>
        <w:t>illion</w:t>
      </w:r>
      <w:r w:rsidR="001D24C6" w:rsidRPr="00CC6A2B">
        <w:rPr>
          <w:sz w:val="28"/>
          <w:lang w:val="en-IN"/>
        </w:rPr>
        <w:t xml:space="preserve"> </w:t>
      </w:r>
      <w:r w:rsidR="001D24C6" w:rsidRPr="00024B55">
        <w:rPr>
          <w:rFonts w:ascii="Calibri" w:eastAsia="Times New Roman" w:hAnsi="Calibri" w:cs="Calibri"/>
          <w:b/>
          <w:bCs/>
          <w:color w:val="000000"/>
          <w:sz w:val="28"/>
          <w:szCs w:val="28"/>
        </w:rPr>
        <w:t>by 2032</w:t>
      </w:r>
      <w:r w:rsidR="00425B21">
        <w:rPr>
          <w:rFonts w:ascii="Calibri" w:eastAsia="Times New Roman" w:hAnsi="Calibri" w:cs="Calibri"/>
          <w:b/>
          <w:bCs/>
          <w:color w:val="000000"/>
          <w:sz w:val="28"/>
          <w:szCs w:val="28"/>
        </w:rPr>
        <w:t xml:space="preserve"> | CAGR: 28.7% | </w:t>
      </w:r>
      <w:proofErr w:type="spellStart"/>
      <w:r w:rsidR="00425B21">
        <w:rPr>
          <w:rFonts w:ascii="Calibri" w:eastAsia="Times New Roman" w:hAnsi="Calibri" w:cs="Calibri"/>
          <w:b/>
          <w:bCs/>
          <w:color w:val="000000"/>
          <w:sz w:val="28"/>
          <w:szCs w:val="28"/>
        </w:rPr>
        <w:t>DataHorizzon</w:t>
      </w:r>
      <w:proofErr w:type="spellEnd"/>
      <w:r w:rsidR="00425B21">
        <w:rPr>
          <w:rFonts w:ascii="Calibri" w:eastAsia="Times New Roman" w:hAnsi="Calibri" w:cs="Calibri"/>
          <w:b/>
          <w:bCs/>
          <w:color w:val="000000"/>
          <w:sz w:val="28"/>
          <w:szCs w:val="28"/>
        </w:rPr>
        <w:t xml:space="preserve"> Research</w:t>
      </w:r>
    </w:p>
    <w:p w:rsidR="00425B21" w:rsidRPr="0078129B" w:rsidRDefault="00425B21" w:rsidP="0078129B">
      <w:pPr>
        <w:spacing w:line="360" w:lineRule="auto"/>
        <w:jc w:val="both"/>
        <w:rPr>
          <w:rFonts w:cstheme="minorHAnsi"/>
          <w:b/>
          <w:sz w:val="24"/>
          <w:szCs w:val="24"/>
        </w:rPr>
      </w:pPr>
      <w:proofErr w:type="spellStart"/>
      <w:r>
        <w:t>DataHorizzon</w:t>
      </w:r>
      <w:proofErr w:type="spellEnd"/>
      <w:r>
        <w:t xml:space="preserve"> Research Published a report titled, </w:t>
      </w:r>
      <w:proofErr w:type="gramStart"/>
      <w:r>
        <w:t>"</w:t>
      </w:r>
      <w:r>
        <w:rPr>
          <w:b/>
        </w:rPr>
        <w:t xml:space="preserve"> </w:t>
      </w:r>
      <w:r w:rsidR="0078129B" w:rsidRPr="003705F5">
        <w:rPr>
          <w:rFonts w:cstheme="minorHAnsi"/>
          <w:b/>
          <w:sz w:val="24"/>
          <w:szCs w:val="24"/>
        </w:rPr>
        <w:t>Exosomes</w:t>
      </w:r>
      <w:proofErr w:type="gramEnd"/>
      <w:r w:rsidR="0078129B" w:rsidRPr="003705F5">
        <w:rPr>
          <w:rFonts w:cstheme="minorHAnsi"/>
          <w:b/>
          <w:sz w:val="24"/>
          <w:szCs w:val="24"/>
        </w:rPr>
        <w:t xml:space="preserve"> Market </w:t>
      </w:r>
      <w:r w:rsidR="0078129B" w:rsidRPr="003705F5">
        <w:rPr>
          <w:rFonts w:cstheme="minorHAnsi"/>
          <w:b/>
          <w:color w:val="000000" w:themeColor="text1"/>
          <w:sz w:val="24"/>
          <w:szCs w:val="24"/>
        </w:rPr>
        <w:t>Size, Growth, Share, Statistics Report, By</w:t>
      </w:r>
      <w:r w:rsidR="0078129B" w:rsidRPr="003705F5">
        <w:rPr>
          <w:rFonts w:cstheme="minorHAnsi"/>
          <w:b/>
          <w:sz w:val="24"/>
          <w:szCs w:val="24"/>
        </w:rPr>
        <w:t xml:space="preserve"> </w:t>
      </w:r>
      <w:r w:rsidR="0078129B">
        <w:rPr>
          <w:rFonts w:cstheme="minorHAnsi"/>
          <w:b/>
          <w:sz w:val="24"/>
          <w:szCs w:val="24"/>
        </w:rPr>
        <w:t xml:space="preserve">Product </w:t>
      </w:r>
      <w:r w:rsidR="0078129B" w:rsidRPr="003705F5">
        <w:rPr>
          <w:rFonts w:cstheme="minorHAnsi"/>
          <w:b/>
          <w:sz w:val="24"/>
          <w:szCs w:val="24"/>
        </w:rPr>
        <w:t>Type (</w:t>
      </w:r>
      <w:r w:rsidR="0078129B" w:rsidRPr="00F10D27">
        <w:rPr>
          <w:rFonts w:cstheme="minorHAnsi"/>
          <w:b/>
          <w:sz w:val="24"/>
          <w:szCs w:val="24"/>
        </w:rPr>
        <w:t>Kits &amp; Reagents, Services</w:t>
      </w:r>
      <w:r w:rsidR="0078129B">
        <w:rPr>
          <w:rFonts w:cstheme="minorHAnsi"/>
          <w:b/>
          <w:sz w:val="24"/>
          <w:szCs w:val="24"/>
        </w:rPr>
        <w:t>, A</w:t>
      </w:r>
      <w:r w:rsidR="0078129B" w:rsidRPr="00F10D27">
        <w:rPr>
          <w:rFonts w:cstheme="minorHAnsi"/>
          <w:b/>
          <w:sz w:val="24"/>
          <w:szCs w:val="24"/>
        </w:rPr>
        <w:t>nd</w:t>
      </w:r>
      <w:r w:rsidR="0078129B">
        <w:rPr>
          <w:rFonts w:cstheme="minorHAnsi"/>
          <w:b/>
          <w:sz w:val="24"/>
          <w:szCs w:val="24"/>
        </w:rPr>
        <w:t xml:space="preserve"> </w:t>
      </w:r>
      <w:r w:rsidR="0078129B" w:rsidRPr="00F10D27">
        <w:rPr>
          <w:rFonts w:cstheme="minorHAnsi"/>
          <w:b/>
          <w:sz w:val="24"/>
          <w:szCs w:val="24"/>
        </w:rPr>
        <w:t>Instruments</w:t>
      </w:r>
      <w:r w:rsidR="0078129B" w:rsidRPr="003705F5">
        <w:rPr>
          <w:rFonts w:cstheme="minorHAnsi"/>
          <w:b/>
          <w:sz w:val="24"/>
          <w:szCs w:val="24"/>
        </w:rPr>
        <w:t>), By Therapy</w:t>
      </w:r>
      <w:r w:rsidR="0078129B">
        <w:rPr>
          <w:rFonts w:cstheme="minorHAnsi"/>
          <w:b/>
          <w:sz w:val="24"/>
          <w:szCs w:val="24"/>
        </w:rPr>
        <w:t xml:space="preserve">, </w:t>
      </w:r>
      <w:r w:rsidR="0078129B" w:rsidRPr="003705F5">
        <w:rPr>
          <w:rFonts w:cstheme="minorHAnsi"/>
          <w:b/>
          <w:sz w:val="24"/>
          <w:szCs w:val="24"/>
        </w:rPr>
        <w:t xml:space="preserve">By Application, By </w:t>
      </w:r>
      <w:r w:rsidR="0078129B">
        <w:rPr>
          <w:rFonts w:cstheme="minorHAnsi"/>
          <w:b/>
          <w:sz w:val="24"/>
          <w:szCs w:val="24"/>
        </w:rPr>
        <w:t>End-user</w:t>
      </w:r>
      <w:r w:rsidR="0078129B" w:rsidRPr="003705F5">
        <w:rPr>
          <w:rFonts w:cstheme="minorHAnsi"/>
          <w:b/>
          <w:color w:val="000000" w:themeColor="text1"/>
          <w:sz w:val="24"/>
          <w:szCs w:val="24"/>
        </w:rPr>
        <w:t>, By Region</w:t>
      </w:r>
      <w:r w:rsidR="0078129B">
        <w:rPr>
          <w:rFonts w:cstheme="minorHAnsi"/>
          <w:b/>
          <w:color w:val="000000" w:themeColor="text1"/>
          <w:sz w:val="24"/>
          <w:szCs w:val="24"/>
        </w:rPr>
        <w:t xml:space="preserve"> And Segment Forecasts, 2023</w:t>
      </w:r>
      <w:r w:rsidR="0078129B" w:rsidRPr="003705F5">
        <w:rPr>
          <w:rFonts w:cstheme="minorHAnsi"/>
          <w:b/>
          <w:color w:val="000000" w:themeColor="text1"/>
          <w:sz w:val="24"/>
          <w:szCs w:val="24"/>
        </w:rPr>
        <w:t>-2032</w:t>
      </w:r>
      <w:r>
        <w:rPr>
          <w:b/>
        </w:rPr>
        <w:t>.”</w:t>
      </w:r>
    </w:p>
    <w:p w:rsidR="00425B21" w:rsidRDefault="00425B21" w:rsidP="00425B21">
      <w:pPr>
        <w:spacing w:before="240" w:after="0" w:line="240" w:lineRule="auto"/>
        <w:jc w:val="both"/>
        <w:rPr>
          <w:b/>
        </w:rPr>
      </w:pPr>
    </w:p>
    <w:p w:rsidR="00DC3737" w:rsidRPr="006F351E" w:rsidRDefault="00425B21" w:rsidP="00425B21">
      <w:pPr>
        <w:jc w:val="both"/>
        <w:rPr>
          <w:sz w:val="24"/>
          <w:szCs w:val="24"/>
        </w:rPr>
      </w:pPr>
      <w:r>
        <w:rPr>
          <w:sz w:val="24"/>
        </w:rPr>
        <w:t xml:space="preserve">According to </w:t>
      </w:r>
      <w:hyperlink r:id="rId5" w:history="1">
        <w:proofErr w:type="spellStart"/>
        <w:r>
          <w:rPr>
            <w:rStyle w:val="Hyperlink"/>
          </w:rPr>
          <w:t>DataHorizzon</w:t>
        </w:r>
        <w:proofErr w:type="spellEnd"/>
        <w:r>
          <w:rPr>
            <w:rStyle w:val="Hyperlink"/>
          </w:rPr>
          <w:t xml:space="preserve"> Research</w:t>
        </w:r>
      </w:hyperlink>
      <w:r>
        <w:rPr>
          <w:sz w:val="24"/>
        </w:rPr>
        <w:t xml:space="preserve">, </w:t>
      </w:r>
      <w:r w:rsidR="0078129B" w:rsidRPr="00107F6E">
        <w:rPr>
          <w:rFonts w:ascii="Times New Roman" w:eastAsia="Times New Roman" w:hAnsi="Times New Roman" w:cs="Times New Roman"/>
          <w:sz w:val="24"/>
          <w:szCs w:val="24"/>
        </w:rPr>
        <w:t xml:space="preserve">The exosomes market size was valued at </w:t>
      </w:r>
      <w:r w:rsidR="0078129B" w:rsidRPr="0085210D">
        <w:rPr>
          <w:rFonts w:eastAsiaTheme="minorEastAsia" w:cstheme="minorHAnsi"/>
          <w:color w:val="000000" w:themeColor="text1"/>
          <w:sz w:val="24"/>
          <w:szCs w:val="24"/>
          <w:lang w:val="en-IN"/>
        </w:rPr>
        <w:t xml:space="preserve">USD </w:t>
      </w:r>
      <w:r w:rsidR="0078129B" w:rsidRPr="0085210D">
        <w:rPr>
          <w:rFonts w:eastAsiaTheme="minorEastAsia" w:cstheme="minorHAnsi"/>
          <w:color w:val="000000" w:themeColor="text1"/>
          <w:sz w:val="24"/>
          <w:szCs w:val="24"/>
        </w:rPr>
        <w:t xml:space="preserve">178.2 </w:t>
      </w:r>
      <w:r w:rsidR="0078129B" w:rsidRPr="0085210D">
        <w:rPr>
          <w:rFonts w:eastAsiaTheme="minorEastAsia" w:cstheme="minorHAnsi"/>
          <w:color w:val="000000" w:themeColor="text1"/>
          <w:sz w:val="24"/>
          <w:szCs w:val="24"/>
          <w:lang w:val="en-IN"/>
        </w:rPr>
        <w:t>Million</w:t>
      </w:r>
      <w:r w:rsidR="0078129B" w:rsidRPr="00107F6E">
        <w:rPr>
          <w:rFonts w:ascii="Times New Roman" w:eastAsia="Times New Roman" w:hAnsi="Times New Roman" w:cs="Times New Roman"/>
          <w:sz w:val="24"/>
          <w:szCs w:val="24"/>
        </w:rPr>
        <w:t xml:space="preserve"> in 2022 and is expected to </w:t>
      </w:r>
      <w:r w:rsidR="0078129B">
        <w:rPr>
          <w:rFonts w:ascii="Times New Roman" w:eastAsia="Times New Roman" w:hAnsi="Times New Roman" w:cs="Times New Roman"/>
          <w:sz w:val="24"/>
          <w:szCs w:val="24"/>
        </w:rPr>
        <w:t>reach the</w:t>
      </w:r>
      <w:r w:rsidR="0078129B" w:rsidRPr="00107F6E">
        <w:rPr>
          <w:rFonts w:ascii="Times New Roman" w:eastAsia="Times New Roman" w:hAnsi="Times New Roman" w:cs="Times New Roman"/>
          <w:sz w:val="24"/>
          <w:szCs w:val="24"/>
        </w:rPr>
        <w:t xml:space="preserve"> market size of </w:t>
      </w:r>
      <w:r w:rsidR="0078129B" w:rsidRPr="0085210D">
        <w:rPr>
          <w:rFonts w:eastAsiaTheme="minorEastAsia" w:cstheme="minorHAnsi"/>
          <w:color w:val="000000" w:themeColor="text1"/>
          <w:sz w:val="24"/>
          <w:szCs w:val="24"/>
          <w:lang w:val="en-IN"/>
        </w:rPr>
        <w:t>USD 2,210.4 Million</w:t>
      </w:r>
      <w:r w:rsidR="0078129B">
        <w:rPr>
          <w:rFonts w:cstheme="minorHAnsi"/>
          <w:color w:val="000000" w:themeColor="text1"/>
          <w:sz w:val="24"/>
          <w:szCs w:val="24"/>
          <w:lang w:val="en-IN"/>
        </w:rPr>
        <w:t xml:space="preserve"> by 2032 </w:t>
      </w:r>
      <w:r w:rsidR="0078129B">
        <w:rPr>
          <w:rFonts w:ascii="Times New Roman" w:eastAsia="Times New Roman" w:hAnsi="Times New Roman" w:cs="Times New Roman"/>
          <w:sz w:val="24"/>
          <w:szCs w:val="24"/>
        </w:rPr>
        <w:t>with a CAGR of 28.7</w:t>
      </w:r>
      <w:r w:rsidR="0078129B" w:rsidRPr="00107F6E">
        <w:rPr>
          <w:rFonts w:ascii="Times New Roman" w:eastAsia="Times New Roman" w:hAnsi="Times New Roman" w:cs="Times New Roman"/>
          <w:sz w:val="24"/>
          <w:szCs w:val="24"/>
        </w:rPr>
        <w:t>%</w:t>
      </w:r>
      <w:r w:rsidR="0078129B">
        <w:rPr>
          <w:rFonts w:ascii="Times New Roman" w:eastAsia="Times New Roman" w:hAnsi="Times New Roman" w:cs="Times New Roman"/>
          <w:sz w:val="24"/>
          <w:szCs w:val="24"/>
        </w:rPr>
        <w:t>.</w:t>
      </w:r>
      <w:r w:rsidR="0078129B" w:rsidRPr="006C540A">
        <w:t xml:space="preserve"> </w:t>
      </w:r>
      <w:r w:rsidR="001D24C6" w:rsidRPr="006F351E">
        <w:rPr>
          <w:rFonts w:cstheme="minorHAnsi"/>
          <w:sz w:val="24"/>
          <w:szCs w:val="24"/>
        </w:rPr>
        <w:t xml:space="preserve"> </w:t>
      </w:r>
      <w:r w:rsidR="00DC3737" w:rsidRPr="006F351E">
        <w:rPr>
          <w:color w:val="000000" w:themeColor="text1"/>
          <w:sz w:val="24"/>
          <w:szCs w:val="24"/>
        </w:rPr>
        <w:t xml:space="preserve">The report comprehensively analyzes the global market scenarios with key takeaways. </w:t>
      </w:r>
      <w:r w:rsidR="00DC3737" w:rsidRPr="006F351E">
        <w:rPr>
          <w:sz w:val="24"/>
          <w:szCs w:val="24"/>
        </w:rPr>
        <w:t>The report also highlights the present and future trends in the industry, followed by actionable market insights.</w:t>
      </w:r>
    </w:p>
    <w:p w:rsidR="00E240D0" w:rsidRPr="006F351E" w:rsidRDefault="00E240D0" w:rsidP="0098131E">
      <w:pPr>
        <w:spacing w:after="0" w:line="240" w:lineRule="auto"/>
        <w:jc w:val="both"/>
        <w:rPr>
          <w:rFonts w:cstheme="minorHAnsi"/>
          <w:sz w:val="24"/>
          <w:szCs w:val="24"/>
        </w:rPr>
      </w:pPr>
      <w:r w:rsidRPr="006F351E">
        <w:rPr>
          <w:rFonts w:cstheme="minorHAnsi"/>
          <w:sz w:val="24"/>
          <w:szCs w:val="24"/>
        </w:rPr>
        <w:t xml:space="preserve">Exosomes, or Extracellular Vesicles, are tiny vesicles released into body fluids when </w:t>
      </w:r>
      <w:proofErr w:type="spellStart"/>
      <w:r w:rsidRPr="006F351E">
        <w:rPr>
          <w:rFonts w:cstheme="minorHAnsi"/>
          <w:sz w:val="24"/>
          <w:szCs w:val="24"/>
        </w:rPr>
        <w:t>multivesicular</w:t>
      </w:r>
      <w:proofErr w:type="spellEnd"/>
      <w:r w:rsidRPr="006F351E">
        <w:rPr>
          <w:rFonts w:cstheme="minorHAnsi"/>
          <w:sz w:val="24"/>
          <w:szCs w:val="24"/>
        </w:rPr>
        <w:t xml:space="preserve"> bodies and the plasma membrane fuse together. They contain genetic information and cell-specific proteins that help cells communicate with each other throughout the body.</w:t>
      </w:r>
    </w:p>
    <w:p w:rsidR="00E240D0" w:rsidRPr="006F351E" w:rsidRDefault="002B0857" w:rsidP="0098131E">
      <w:pPr>
        <w:spacing w:after="0" w:line="240" w:lineRule="auto"/>
        <w:jc w:val="both"/>
        <w:rPr>
          <w:sz w:val="24"/>
          <w:szCs w:val="24"/>
        </w:rPr>
      </w:pPr>
      <w:r w:rsidRPr="006F351E">
        <w:rPr>
          <w:sz w:val="24"/>
          <w:szCs w:val="24"/>
        </w:rPr>
        <w:t xml:space="preserve">As exosomes have exceptional capabilities </w:t>
      </w:r>
      <w:r w:rsidR="00DC3737" w:rsidRPr="006F351E">
        <w:rPr>
          <w:sz w:val="24"/>
          <w:szCs w:val="24"/>
        </w:rPr>
        <w:t>in</w:t>
      </w:r>
      <w:r w:rsidRPr="006F351E">
        <w:rPr>
          <w:sz w:val="24"/>
          <w:szCs w:val="24"/>
        </w:rPr>
        <w:t xml:space="preserve"> immune responses and delivering biomolecules, they can be released by almost all eukaryotic cells, and their contents can vary quite significantly depending on the cell type and current state. This makes them an incredibly versatile tool for modifying biological responses.</w:t>
      </w:r>
      <w:r w:rsidR="00DC3737">
        <w:rPr>
          <w:sz w:val="24"/>
          <w:szCs w:val="24"/>
        </w:rPr>
        <w:t xml:space="preserve"> </w:t>
      </w:r>
      <w:r w:rsidR="00E240D0" w:rsidRPr="006F351E">
        <w:rPr>
          <w:sz w:val="24"/>
          <w:szCs w:val="24"/>
        </w:rPr>
        <w:t>Exosome technologies have been causing quite a stir in the pharmaceutical and biopharmaceutical fields lately. With their potential to serve as diagnostic and therapeutic tools, it's no wonder there's been a surge in R&amp;D activity and demand for drug therapies. These technologies have shown great promise in treating diseases such as neurodegeneration, cardiovascular dysfunction, and cancer.</w:t>
      </w:r>
    </w:p>
    <w:p w:rsidR="00835338" w:rsidRPr="006F351E" w:rsidRDefault="00835338" w:rsidP="0098131E">
      <w:pPr>
        <w:spacing w:after="0" w:line="240" w:lineRule="auto"/>
        <w:jc w:val="both"/>
        <w:rPr>
          <w:sz w:val="24"/>
          <w:szCs w:val="24"/>
        </w:rPr>
      </w:pPr>
    </w:p>
    <w:p w:rsidR="001D24C6" w:rsidRPr="006F351E" w:rsidRDefault="007F3D6B" w:rsidP="001D24C6">
      <w:pPr>
        <w:spacing w:after="0" w:line="240" w:lineRule="auto"/>
        <w:jc w:val="both"/>
        <w:rPr>
          <w:sz w:val="24"/>
          <w:szCs w:val="24"/>
        </w:rPr>
      </w:pPr>
      <w:r w:rsidRPr="006F351E">
        <w:rPr>
          <w:sz w:val="24"/>
          <w:szCs w:val="24"/>
        </w:rPr>
        <w:t xml:space="preserve">Exosomes are being widely researched for their ability to transport proteins and nucleic acids from their source, making them valuable in diagnostics. Thus, they have been employed in disease diagnosis and monitoring. For instance, </w:t>
      </w:r>
      <w:proofErr w:type="spellStart"/>
      <w:r w:rsidRPr="006F351E">
        <w:rPr>
          <w:sz w:val="24"/>
          <w:szCs w:val="24"/>
        </w:rPr>
        <w:t>exosomal</w:t>
      </w:r>
      <w:proofErr w:type="spellEnd"/>
      <w:r w:rsidRPr="006F351E">
        <w:rPr>
          <w:sz w:val="24"/>
          <w:szCs w:val="24"/>
        </w:rPr>
        <w:t xml:space="preserve"> CD63 has proven effective in detecting melanoma, while </w:t>
      </w:r>
      <w:proofErr w:type="spellStart"/>
      <w:r w:rsidRPr="006F351E">
        <w:rPr>
          <w:sz w:val="24"/>
          <w:szCs w:val="24"/>
        </w:rPr>
        <w:t>exosomal</w:t>
      </w:r>
      <w:proofErr w:type="spellEnd"/>
      <w:r w:rsidRPr="006F351E">
        <w:rPr>
          <w:sz w:val="24"/>
          <w:szCs w:val="24"/>
        </w:rPr>
        <w:t xml:space="preserve"> tau has been used to identify early signs of Alzheimer's disease. The potential of exosomes in medicine is indeed promising, and further research in this area is warranted.</w:t>
      </w:r>
    </w:p>
    <w:p w:rsidR="007F3D6B" w:rsidRDefault="007F3D6B" w:rsidP="001D24C6">
      <w:pPr>
        <w:spacing w:after="0" w:line="240" w:lineRule="auto"/>
        <w:jc w:val="both"/>
        <w:rPr>
          <w:sz w:val="24"/>
          <w:szCs w:val="24"/>
        </w:rPr>
      </w:pPr>
    </w:p>
    <w:p w:rsidR="00425B21" w:rsidRDefault="00425B21" w:rsidP="00425B21">
      <w:pPr>
        <w:jc w:val="both"/>
        <w:rPr>
          <w:b/>
        </w:rPr>
      </w:pPr>
      <w:r>
        <w:rPr>
          <w:b/>
        </w:rPr>
        <w:t>Request Sample Report:</w:t>
      </w:r>
    </w:p>
    <w:p w:rsidR="00425B21" w:rsidRDefault="00425B21" w:rsidP="00425B21">
      <w:pPr>
        <w:jc w:val="both"/>
        <w:rPr>
          <w:b/>
          <w:sz w:val="24"/>
        </w:rPr>
      </w:pPr>
      <w:r>
        <w:rPr>
          <w:b/>
          <w:sz w:val="24"/>
        </w:rPr>
        <w:t>Report Snapshot:</w:t>
      </w:r>
    </w:p>
    <w:tbl>
      <w:tblPr>
        <w:tblStyle w:val="TableGrid"/>
        <w:tblW w:w="0" w:type="auto"/>
        <w:tblLook w:val="04A0" w:firstRow="1" w:lastRow="0" w:firstColumn="1" w:lastColumn="0" w:noHBand="0" w:noVBand="1"/>
      </w:tblPr>
      <w:tblGrid>
        <w:gridCol w:w="2875"/>
        <w:gridCol w:w="6475"/>
      </w:tblGrid>
      <w:tr w:rsidR="0078129B" w:rsidRPr="00FB549D" w:rsidTr="00DF6601">
        <w:tc>
          <w:tcPr>
            <w:tcW w:w="2875" w:type="dxa"/>
          </w:tcPr>
          <w:p w:rsidR="0078129B" w:rsidRPr="00FB549D" w:rsidRDefault="0078129B" w:rsidP="00DF6601">
            <w:pPr>
              <w:jc w:val="both"/>
              <w:rPr>
                <w:rFonts w:cstheme="minorHAnsi"/>
                <w:color w:val="000000" w:themeColor="text1"/>
                <w:sz w:val="24"/>
                <w:szCs w:val="24"/>
              </w:rPr>
            </w:pPr>
            <w:r w:rsidRPr="00FB549D">
              <w:rPr>
                <w:rFonts w:cstheme="minorHAnsi"/>
                <w:color w:val="000000" w:themeColor="text1"/>
                <w:sz w:val="24"/>
                <w:szCs w:val="24"/>
              </w:rPr>
              <w:t>Report Title</w:t>
            </w:r>
          </w:p>
        </w:tc>
        <w:tc>
          <w:tcPr>
            <w:tcW w:w="6475" w:type="dxa"/>
          </w:tcPr>
          <w:p w:rsidR="0078129B" w:rsidRPr="00FB549D" w:rsidRDefault="0078129B" w:rsidP="00DF6601">
            <w:pPr>
              <w:jc w:val="both"/>
              <w:rPr>
                <w:rFonts w:cstheme="minorHAnsi"/>
                <w:color w:val="000000" w:themeColor="text1"/>
                <w:sz w:val="24"/>
                <w:szCs w:val="24"/>
              </w:rPr>
            </w:pPr>
            <w:r w:rsidRPr="00FB549D">
              <w:rPr>
                <w:rFonts w:cstheme="minorHAnsi"/>
                <w:color w:val="000000" w:themeColor="text1"/>
                <w:sz w:val="24"/>
                <w:szCs w:val="24"/>
              </w:rPr>
              <w:t>Exosomes Market</w:t>
            </w:r>
          </w:p>
        </w:tc>
      </w:tr>
      <w:tr w:rsidR="0078129B" w:rsidRPr="00FB549D" w:rsidTr="00DF6601">
        <w:tc>
          <w:tcPr>
            <w:tcW w:w="2875" w:type="dxa"/>
          </w:tcPr>
          <w:p w:rsidR="0078129B" w:rsidRPr="00FB549D" w:rsidRDefault="0078129B" w:rsidP="00DF6601">
            <w:pPr>
              <w:jc w:val="both"/>
              <w:rPr>
                <w:rFonts w:cstheme="minorHAnsi"/>
                <w:color w:val="000000" w:themeColor="text1"/>
                <w:sz w:val="24"/>
                <w:szCs w:val="24"/>
              </w:rPr>
            </w:pPr>
            <w:r w:rsidRPr="00FB549D">
              <w:rPr>
                <w:rFonts w:cstheme="minorHAnsi"/>
                <w:color w:val="000000" w:themeColor="text1"/>
                <w:sz w:val="24"/>
                <w:szCs w:val="24"/>
              </w:rPr>
              <w:t xml:space="preserve">Market Size </w:t>
            </w:r>
            <w:r>
              <w:rPr>
                <w:rFonts w:cstheme="minorHAnsi"/>
                <w:color w:val="000000" w:themeColor="text1"/>
                <w:sz w:val="24"/>
                <w:szCs w:val="24"/>
              </w:rPr>
              <w:t xml:space="preserve">in </w:t>
            </w:r>
            <w:r w:rsidRPr="00FB549D">
              <w:rPr>
                <w:rFonts w:cstheme="minorHAnsi"/>
                <w:color w:val="000000" w:themeColor="text1"/>
                <w:sz w:val="24"/>
                <w:szCs w:val="24"/>
              </w:rPr>
              <w:t>2022</w:t>
            </w:r>
          </w:p>
        </w:tc>
        <w:tc>
          <w:tcPr>
            <w:tcW w:w="6475" w:type="dxa"/>
          </w:tcPr>
          <w:p w:rsidR="0078129B" w:rsidRPr="0085210D" w:rsidRDefault="0078129B" w:rsidP="00DF6601">
            <w:pPr>
              <w:jc w:val="both"/>
              <w:rPr>
                <w:rFonts w:cstheme="minorHAnsi"/>
                <w:color w:val="000000" w:themeColor="text1"/>
                <w:sz w:val="24"/>
                <w:szCs w:val="24"/>
                <w:lang w:val="en-IN"/>
              </w:rPr>
            </w:pPr>
            <w:r w:rsidRPr="0085210D">
              <w:rPr>
                <w:rFonts w:cstheme="minorHAnsi"/>
                <w:color w:val="000000" w:themeColor="text1"/>
                <w:sz w:val="24"/>
                <w:szCs w:val="24"/>
                <w:lang w:val="en-IN"/>
              </w:rPr>
              <w:t xml:space="preserve">USD </w:t>
            </w:r>
            <w:r w:rsidRPr="0085210D">
              <w:rPr>
                <w:rFonts w:cstheme="minorHAnsi"/>
                <w:color w:val="000000" w:themeColor="text1"/>
                <w:sz w:val="24"/>
                <w:szCs w:val="24"/>
              </w:rPr>
              <w:t xml:space="preserve">178.2 </w:t>
            </w:r>
            <w:r w:rsidRPr="0085210D">
              <w:rPr>
                <w:rFonts w:cstheme="minorHAnsi"/>
                <w:color w:val="000000" w:themeColor="text1"/>
                <w:sz w:val="24"/>
                <w:szCs w:val="24"/>
                <w:lang w:val="en-IN"/>
              </w:rPr>
              <w:t>Million</w:t>
            </w:r>
          </w:p>
        </w:tc>
      </w:tr>
      <w:tr w:rsidR="0078129B" w:rsidRPr="00FB549D" w:rsidTr="00DF6601">
        <w:tc>
          <w:tcPr>
            <w:tcW w:w="2875" w:type="dxa"/>
          </w:tcPr>
          <w:p w:rsidR="0078129B" w:rsidRPr="00FB549D" w:rsidRDefault="0078129B" w:rsidP="00DF6601">
            <w:pPr>
              <w:jc w:val="both"/>
              <w:rPr>
                <w:rFonts w:cstheme="minorHAnsi"/>
                <w:color w:val="000000" w:themeColor="text1"/>
                <w:sz w:val="24"/>
                <w:szCs w:val="24"/>
              </w:rPr>
            </w:pPr>
            <w:r>
              <w:rPr>
                <w:rFonts w:cstheme="minorHAnsi"/>
                <w:color w:val="000000" w:themeColor="text1"/>
                <w:sz w:val="24"/>
                <w:szCs w:val="24"/>
              </w:rPr>
              <w:t>Market Size by 2032</w:t>
            </w:r>
          </w:p>
        </w:tc>
        <w:tc>
          <w:tcPr>
            <w:tcW w:w="6475" w:type="dxa"/>
          </w:tcPr>
          <w:p w:rsidR="0078129B" w:rsidRPr="0085210D" w:rsidRDefault="0078129B" w:rsidP="00DF6601">
            <w:pPr>
              <w:jc w:val="both"/>
              <w:rPr>
                <w:rFonts w:cstheme="minorHAnsi"/>
                <w:color w:val="000000" w:themeColor="text1"/>
                <w:sz w:val="24"/>
                <w:szCs w:val="24"/>
                <w:lang w:val="en-IN"/>
              </w:rPr>
            </w:pPr>
            <w:r w:rsidRPr="0085210D">
              <w:rPr>
                <w:rFonts w:cstheme="minorHAnsi"/>
                <w:color w:val="000000" w:themeColor="text1"/>
                <w:sz w:val="24"/>
                <w:szCs w:val="24"/>
                <w:lang w:val="en-IN"/>
              </w:rPr>
              <w:t>USD 2,210.4 Million</w:t>
            </w:r>
          </w:p>
        </w:tc>
      </w:tr>
      <w:tr w:rsidR="0078129B" w:rsidRPr="00FB549D" w:rsidTr="00DF6601">
        <w:tc>
          <w:tcPr>
            <w:tcW w:w="2875" w:type="dxa"/>
          </w:tcPr>
          <w:p w:rsidR="0078129B" w:rsidRPr="00FB549D" w:rsidRDefault="0078129B" w:rsidP="00DF6601">
            <w:pPr>
              <w:jc w:val="both"/>
              <w:rPr>
                <w:rFonts w:cstheme="minorHAnsi"/>
                <w:color w:val="000000" w:themeColor="text1"/>
                <w:sz w:val="24"/>
                <w:szCs w:val="24"/>
              </w:rPr>
            </w:pPr>
            <w:r w:rsidRPr="00FB549D">
              <w:rPr>
                <w:rFonts w:cstheme="minorHAnsi"/>
                <w:color w:val="000000" w:themeColor="text1"/>
                <w:sz w:val="24"/>
                <w:szCs w:val="24"/>
              </w:rPr>
              <w:t>CAGR</w:t>
            </w:r>
            <w:r>
              <w:rPr>
                <w:rFonts w:cstheme="minorHAnsi"/>
                <w:color w:val="000000" w:themeColor="text1"/>
                <w:sz w:val="24"/>
                <w:szCs w:val="24"/>
              </w:rPr>
              <w:t xml:space="preserve"> from 2023 to 2032</w:t>
            </w:r>
          </w:p>
        </w:tc>
        <w:tc>
          <w:tcPr>
            <w:tcW w:w="6475" w:type="dxa"/>
          </w:tcPr>
          <w:p w:rsidR="0078129B" w:rsidRPr="00FB549D" w:rsidRDefault="0078129B" w:rsidP="00DF6601">
            <w:pPr>
              <w:jc w:val="both"/>
              <w:rPr>
                <w:rFonts w:cstheme="minorHAnsi"/>
                <w:color w:val="000000" w:themeColor="text1"/>
                <w:sz w:val="24"/>
                <w:szCs w:val="24"/>
              </w:rPr>
            </w:pPr>
            <w:r>
              <w:rPr>
                <w:rFonts w:cstheme="minorHAnsi"/>
                <w:color w:val="000000" w:themeColor="text1"/>
                <w:sz w:val="24"/>
                <w:szCs w:val="24"/>
              </w:rPr>
              <w:t>28.7</w:t>
            </w:r>
            <w:r w:rsidRPr="00FB549D">
              <w:rPr>
                <w:rFonts w:cstheme="minorHAnsi"/>
                <w:color w:val="000000" w:themeColor="text1"/>
                <w:sz w:val="24"/>
                <w:szCs w:val="24"/>
              </w:rPr>
              <w:t>%</w:t>
            </w:r>
          </w:p>
        </w:tc>
      </w:tr>
      <w:tr w:rsidR="0078129B" w:rsidRPr="00FB549D" w:rsidTr="00DF6601">
        <w:tc>
          <w:tcPr>
            <w:tcW w:w="2875" w:type="dxa"/>
          </w:tcPr>
          <w:p w:rsidR="0078129B" w:rsidRPr="00FB549D" w:rsidRDefault="0078129B" w:rsidP="00DF6601">
            <w:pPr>
              <w:jc w:val="both"/>
              <w:rPr>
                <w:rFonts w:cstheme="minorHAnsi"/>
                <w:color w:val="000000" w:themeColor="text1"/>
                <w:sz w:val="24"/>
                <w:szCs w:val="24"/>
              </w:rPr>
            </w:pPr>
            <w:r>
              <w:rPr>
                <w:rFonts w:cstheme="minorHAnsi"/>
                <w:color w:val="000000" w:themeColor="text1"/>
                <w:sz w:val="24"/>
                <w:szCs w:val="24"/>
              </w:rPr>
              <w:t>Largest Market</w:t>
            </w:r>
          </w:p>
        </w:tc>
        <w:tc>
          <w:tcPr>
            <w:tcW w:w="6475" w:type="dxa"/>
          </w:tcPr>
          <w:p w:rsidR="0078129B" w:rsidRDefault="0078129B" w:rsidP="00DF6601">
            <w:pPr>
              <w:jc w:val="both"/>
              <w:rPr>
                <w:rFonts w:cstheme="minorHAnsi"/>
                <w:color w:val="000000" w:themeColor="text1"/>
                <w:sz w:val="24"/>
                <w:szCs w:val="24"/>
              </w:rPr>
            </w:pPr>
            <w:r>
              <w:rPr>
                <w:rFonts w:cstheme="minorHAnsi"/>
                <w:color w:val="000000" w:themeColor="text1"/>
                <w:sz w:val="24"/>
                <w:szCs w:val="24"/>
              </w:rPr>
              <w:t>North America</w:t>
            </w:r>
          </w:p>
        </w:tc>
      </w:tr>
      <w:tr w:rsidR="0078129B" w:rsidRPr="00FB549D" w:rsidTr="00DF6601">
        <w:tc>
          <w:tcPr>
            <w:tcW w:w="2875" w:type="dxa"/>
          </w:tcPr>
          <w:p w:rsidR="0078129B" w:rsidRPr="00FB549D" w:rsidRDefault="0078129B" w:rsidP="00DF6601">
            <w:pPr>
              <w:jc w:val="both"/>
              <w:rPr>
                <w:rFonts w:cstheme="minorHAnsi"/>
                <w:color w:val="000000" w:themeColor="text1"/>
                <w:sz w:val="24"/>
                <w:szCs w:val="24"/>
              </w:rPr>
            </w:pPr>
            <w:r w:rsidRPr="00FB549D">
              <w:rPr>
                <w:rFonts w:cstheme="minorHAnsi"/>
                <w:color w:val="000000" w:themeColor="text1"/>
                <w:sz w:val="24"/>
                <w:szCs w:val="24"/>
              </w:rPr>
              <w:t>Forecast Period</w:t>
            </w:r>
          </w:p>
        </w:tc>
        <w:tc>
          <w:tcPr>
            <w:tcW w:w="6475" w:type="dxa"/>
          </w:tcPr>
          <w:p w:rsidR="0078129B" w:rsidRPr="00FB549D" w:rsidRDefault="0078129B" w:rsidP="00DF6601">
            <w:pPr>
              <w:jc w:val="both"/>
              <w:rPr>
                <w:rFonts w:cstheme="minorHAnsi"/>
                <w:color w:val="000000" w:themeColor="text1"/>
                <w:sz w:val="24"/>
                <w:szCs w:val="24"/>
              </w:rPr>
            </w:pPr>
            <w:r w:rsidRPr="00FB549D">
              <w:rPr>
                <w:rFonts w:cstheme="minorHAnsi"/>
                <w:color w:val="000000" w:themeColor="text1"/>
                <w:sz w:val="24"/>
                <w:szCs w:val="24"/>
              </w:rPr>
              <w:t>2023</w:t>
            </w:r>
            <w:r>
              <w:rPr>
                <w:rFonts w:cstheme="minorHAnsi"/>
                <w:color w:val="000000" w:themeColor="text1"/>
                <w:sz w:val="24"/>
                <w:szCs w:val="24"/>
              </w:rPr>
              <w:t xml:space="preserve"> to </w:t>
            </w:r>
            <w:r w:rsidRPr="00FB549D">
              <w:rPr>
                <w:rFonts w:cstheme="minorHAnsi"/>
                <w:color w:val="000000" w:themeColor="text1"/>
                <w:sz w:val="24"/>
                <w:szCs w:val="24"/>
              </w:rPr>
              <w:t>2032</w:t>
            </w:r>
          </w:p>
        </w:tc>
      </w:tr>
      <w:tr w:rsidR="0078129B" w:rsidRPr="00FB549D" w:rsidTr="00DF6601">
        <w:tc>
          <w:tcPr>
            <w:tcW w:w="2875" w:type="dxa"/>
          </w:tcPr>
          <w:p w:rsidR="0078129B" w:rsidRPr="00FB549D" w:rsidRDefault="0078129B" w:rsidP="00DF6601">
            <w:pPr>
              <w:jc w:val="both"/>
              <w:rPr>
                <w:rFonts w:cstheme="minorHAnsi"/>
                <w:color w:val="000000" w:themeColor="text1"/>
                <w:sz w:val="24"/>
                <w:szCs w:val="24"/>
              </w:rPr>
            </w:pPr>
            <w:r w:rsidRPr="00FB549D">
              <w:rPr>
                <w:rFonts w:cstheme="minorHAnsi"/>
                <w:color w:val="000000" w:themeColor="text1"/>
                <w:sz w:val="24"/>
                <w:szCs w:val="24"/>
              </w:rPr>
              <w:lastRenderedPageBreak/>
              <w:t>Historic Period</w:t>
            </w:r>
          </w:p>
        </w:tc>
        <w:tc>
          <w:tcPr>
            <w:tcW w:w="6475" w:type="dxa"/>
          </w:tcPr>
          <w:p w:rsidR="0078129B" w:rsidRPr="00FB549D" w:rsidRDefault="0078129B" w:rsidP="00DF6601">
            <w:pPr>
              <w:jc w:val="both"/>
              <w:rPr>
                <w:rFonts w:cstheme="minorHAnsi"/>
                <w:color w:val="000000" w:themeColor="text1"/>
                <w:sz w:val="24"/>
                <w:szCs w:val="24"/>
              </w:rPr>
            </w:pPr>
            <w:r w:rsidRPr="00FB549D">
              <w:rPr>
                <w:rFonts w:cstheme="minorHAnsi"/>
                <w:color w:val="000000" w:themeColor="text1"/>
                <w:sz w:val="24"/>
                <w:szCs w:val="24"/>
              </w:rPr>
              <w:t>2021</w:t>
            </w:r>
          </w:p>
        </w:tc>
      </w:tr>
      <w:tr w:rsidR="0078129B" w:rsidRPr="00FB549D" w:rsidTr="00DF6601">
        <w:tc>
          <w:tcPr>
            <w:tcW w:w="2875" w:type="dxa"/>
          </w:tcPr>
          <w:p w:rsidR="0078129B" w:rsidRPr="00FB549D" w:rsidRDefault="0078129B" w:rsidP="00DF6601">
            <w:pPr>
              <w:jc w:val="both"/>
              <w:rPr>
                <w:rFonts w:cstheme="minorHAnsi"/>
                <w:color w:val="000000" w:themeColor="text1"/>
                <w:sz w:val="24"/>
                <w:szCs w:val="24"/>
              </w:rPr>
            </w:pPr>
            <w:r w:rsidRPr="00FB549D">
              <w:rPr>
                <w:rFonts w:cstheme="minorHAnsi"/>
                <w:color w:val="000000" w:themeColor="text1"/>
                <w:sz w:val="24"/>
                <w:szCs w:val="24"/>
              </w:rPr>
              <w:t>Base Year</w:t>
            </w:r>
          </w:p>
        </w:tc>
        <w:tc>
          <w:tcPr>
            <w:tcW w:w="6475" w:type="dxa"/>
          </w:tcPr>
          <w:p w:rsidR="0078129B" w:rsidRPr="00FB549D" w:rsidRDefault="0078129B" w:rsidP="00DF6601">
            <w:pPr>
              <w:jc w:val="both"/>
              <w:rPr>
                <w:rFonts w:cstheme="minorHAnsi"/>
                <w:color w:val="000000" w:themeColor="text1"/>
                <w:sz w:val="24"/>
                <w:szCs w:val="24"/>
              </w:rPr>
            </w:pPr>
            <w:r w:rsidRPr="00FB549D">
              <w:rPr>
                <w:rFonts w:cstheme="minorHAnsi"/>
                <w:color w:val="000000" w:themeColor="text1"/>
                <w:sz w:val="24"/>
                <w:szCs w:val="24"/>
              </w:rPr>
              <w:t>2022</w:t>
            </w:r>
          </w:p>
        </w:tc>
      </w:tr>
      <w:tr w:rsidR="0078129B" w:rsidRPr="00FB549D" w:rsidTr="00DF6601">
        <w:tc>
          <w:tcPr>
            <w:tcW w:w="2875" w:type="dxa"/>
          </w:tcPr>
          <w:p w:rsidR="0078129B" w:rsidRPr="00FB549D" w:rsidRDefault="0078129B" w:rsidP="00DF6601">
            <w:pPr>
              <w:rPr>
                <w:rFonts w:cstheme="minorHAnsi"/>
                <w:color w:val="000000" w:themeColor="text1"/>
                <w:sz w:val="24"/>
                <w:szCs w:val="24"/>
              </w:rPr>
            </w:pPr>
            <w:r w:rsidRPr="00FB549D">
              <w:rPr>
                <w:rFonts w:cstheme="minorHAnsi"/>
                <w:color w:val="000000" w:themeColor="text1"/>
                <w:sz w:val="24"/>
                <w:szCs w:val="24"/>
              </w:rPr>
              <w:t>Report Scope &amp; Coverage</w:t>
            </w:r>
          </w:p>
        </w:tc>
        <w:tc>
          <w:tcPr>
            <w:tcW w:w="6475" w:type="dxa"/>
          </w:tcPr>
          <w:p w:rsidR="0078129B" w:rsidRPr="00FB549D" w:rsidRDefault="0078129B" w:rsidP="00DF6601">
            <w:pPr>
              <w:jc w:val="both"/>
              <w:rPr>
                <w:rFonts w:cstheme="minorHAnsi"/>
                <w:color w:val="000000" w:themeColor="text1"/>
                <w:sz w:val="24"/>
                <w:szCs w:val="24"/>
              </w:rPr>
            </w:pPr>
            <w:r w:rsidRPr="00FB549D">
              <w:rPr>
                <w:rFonts w:cstheme="minorHAnsi"/>
                <w:color w:val="000000" w:themeColor="text1"/>
                <w:sz w:val="24"/>
                <w:szCs w:val="24"/>
              </w:rPr>
              <w:t>Market size, estimations, competitor analysis, trends</w:t>
            </w:r>
            <w:r>
              <w:rPr>
                <w:rFonts w:cstheme="minorHAnsi"/>
                <w:color w:val="000000" w:themeColor="text1"/>
                <w:sz w:val="24"/>
                <w:szCs w:val="24"/>
              </w:rPr>
              <w:t>,</w:t>
            </w:r>
            <w:r w:rsidRPr="00FB549D">
              <w:rPr>
                <w:rFonts w:cstheme="minorHAnsi"/>
                <w:color w:val="000000" w:themeColor="text1"/>
                <w:sz w:val="24"/>
                <w:szCs w:val="24"/>
              </w:rPr>
              <w:t xml:space="preserve"> and growth factors</w:t>
            </w:r>
          </w:p>
        </w:tc>
      </w:tr>
      <w:tr w:rsidR="0078129B" w:rsidRPr="00FB549D" w:rsidTr="00DF6601">
        <w:tc>
          <w:tcPr>
            <w:tcW w:w="2875" w:type="dxa"/>
          </w:tcPr>
          <w:p w:rsidR="0078129B" w:rsidRPr="00FB549D" w:rsidRDefault="0078129B" w:rsidP="00DF6601">
            <w:pPr>
              <w:jc w:val="both"/>
              <w:rPr>
                <w:rFonts w:cstheme="minorHAnsi"/>
                <w:color w:val="000000" w:themeColor="text1"/>
                <w:sz w:val="24"/>
                <w:szCs w:val="24"/>
              </w:rPr>
            </w:pPr>
            <w:r w:rsidRPr="00FB549D">
              <w:rPr>
                <w:rFonts w:cstheme="minorHAnsi"/>
                <w:color w:val="000000" w:themeColor="text1"/>
                <w:sz w:val="24"/>
                <w:szCs w:val="24"/>
              </w:rPr>
              <w:t xml:space="preserve">By Product Type </w:t>
            </w:r>
          </w:p>
        </w:tc>
        <w:tc>
          <w:tcPr>
            <w:tcW w:w="6475" w:type="dxa"/>
          </w:tcPr>
          <w:p w:rsidR="0078129B" w:rsidRPr="00FB549D" w:rsidRDefault="0078129B" w:rsidP="00DF6601">
            <w:pPr>
              <w:jc w:val="both"/>
              <w:rPr>
                <w:rFonts w:cstheme="minorHAnsi"/>
                <w:color w:val="000000" w:themeColor="text1"/>
                <w:sz w:val="24"/>
                <w:szCs w:val="24"/>
              </w:rPr>
            </w:pPr>
            <w:r w:rsidRPr="00FB549D">
              <w:rPr>
                <w:rFonts w:cstheme="minorHAnsi"/>
                <w:color w:val="000000" w:themeColor="text1"/>
                <w:sz w:val="24"/>
                <w:szCs w:val="24"/>
              </w:rPr>
              <w:t>Kits &amp; reagents, services</w:t>
            </w:r>
            <w:r>
              <w:rPr>
                <w:rFonts w:cstheme="minorHAnsi"/>
                <w:color w:val="000000" w:themeColor="text1"/>
                <w:sz w:val="24"/>
                <w:szCs w:val="24"/>
              </w:rPr>
              <w:t>,</w:t>
            </w:r>
            <w:r w:rsidRPr="00FB549D">
              <w:rPr>
                <w:rFonts w:cstheme="minorHAnsi"/>
                <w:color w:val="000000" w:themeColor="text1"/>
                <w:sz w:val="24"/>
                <w:szCs w:val="24"/>
              </w:rPr>
              <w:t xml:space="preserve"> and instruments</w:t>
            </w:r>
          </w:p>
        </w:tc>
      </w:tr>
      <w:tr w:rsidR="0078129B" w:rsidRPr="00FB549D" w:rsidTr="00DF6601">
        <w:trPr>
          <w:trHeight w:val="332"/>
        </w:trPr>
        <w:tc>
          <w:tcPr>
            <w:tcW w:w="2875" w:type="dxa"/>
          </w:tcPr>
          <w:p w:rsidR="0078129B" w:rsidRPr="00FB549D" w:rsidRDefault="0078129B" w:rsidP="00DF6601">
            <w:pPr>
              <w:jc w:val="both"/>
              <w:rPr>
                <w:rFonts w:cstheme="minorHAnsi"/>
                <w:color w:val="000000" w:themeColor="text1"/>
                <w:sz w:val="24"/>
                <w:szCs w:val="24"/>
              </w:rPr>
            </w:pPr>
            <w:r w:rsidRPr="00FB549D">
              <w:rPr>
                <w:rFonts w:cstheme="minorHAnsi"/>
                <w:color w:val="000000" w:themeColor="text1"/>
                <w:sz w:val="24"/>
                <w:szCs w:val="24"/>
              </w:rPr>
              <w:t xml:space="preserve">By Therapy </w:t>
            </w:r>
            <w:r>
              <w:rPr>
                <w:rFonts w:cstheme="minorHAnsi"/>
                <w:color w:val="000000" w:themeColor="text1"/>
                <w:sz w:val="24"/>
                <w:szCs w:val="24"/>
              </w:rPr>
              <w:t>Type</w:t>
            </w:r>
          </w:p>
        </w:tc>
        <w:tc>
          <w:tcPr>
            <w:tcW w:w="6475" w:type="dxa"/>
          </w:tcPr>
          <w:p w:rsidR="0078129B" w:rsidRPr="00FB549D" w:rsidRDefault="0078129B" w:rsidP="00DF6601">
            <w:pPr>
              <w:jc w:val="both"/>
              <w:rPr>
                <w:rFonts w:cstheme="minorHAnsi"/>
                <w:color w:val="000000" w:themeColor="text1"/>
                <w:sz w:val="24"/>
                <w:szCs w:val="24"/>
              </w:rPr>
            </w:pPr>
            <w:r w:rsidRPr="00FB549D">
              <w:rPr>
                <w:rFonts w:cstheme="minorHAnsi"/>
                <w:color w:val="000000" w:themeColor="text1"/>
                <w:sz w:val="24"/>
                <w:szCs w:val="24"/>
              </w:rPr>
              <w:t>Immunotherapy, chemotherapy</w:t>
            </w:r>
            <w:r>
              <w:rPr>
                <w:rFonts w:cstheme="minorHAnsi"/>
                <w:color w:val="000000" w:themeColor="text1"/>
                <w:sz w:val="24"/>
                <w:szCs w:val="24"/>
              </w:rPr>
              <w:t>,</w:t>
            </w:r>
            <w:r w:rsidRPr="00FB549D">
              <w:rPr>
                <w:rFonts w:cstheme="minorHAnsi"/>
                <w:color w:val="000000" w:themeColor="text1"/>
                <w:sz w:val="24"/>
                <w:szCs w:val="24"/>
              </w:rPr>
              <w:t xml:space="preserve"> and gene therapy</w:t>
            </w:r>
          </w:p>
        </w:tc>
      </w:tr>
      <w:tr w:rsidR="0078129B" w:rsidRPr="00FB549D" w:rsidTr="00DF6601">
        <w:trPr>
          <w:trHeight w:val="332"/>
        </w:trPr>
        <w:tc>
          <w:tcPr>
            <w:tcW w:w="2875" w:type="dxa"/>
          </w:tcPr>
          <w:p w:rsidR="0078129B" w:rsidRPr="00FB549D" w:rsidRDefault="0078129B" w:rsidP="00DF6601">
            <w:pPr>
              <w:rPr>
                <w:rFonts w:cstheme="minorHAnsi"/>
                <w:color w:val="000000" w:themeColor="text1"/>
                <w:sz w:val="24"/>
                <w:szCs w:val="24"/>
              </w:rPr>
            </w:pPr>
            <w:r w:rsidRPr="00FB549D">
              <w:rPr>
                <w:rFonts w:cstheme="minorHAnsi"/>
                <w:color w:val="000000" w:themeColor="text1"/>
                <w:sz w:val="24"/>
                <w:szCs w:val="24"/>
              </w:rPr>
              <w:t xml:space="preserve">By Application </w:t>
            </w:r>
          </w:p>
        </w:tc>
        <w:tc>
          <w:tcPr>
            <w:tcW w:w="6475" w:type="dxa"/>
          </w:tcPr>
          <w:p w:rsidR="0078129B" w:rsidRPr="00FB549D" w:rsidRDefault="0078129B" w:rsidP="00DF6601">
            <w:pPr>
              <w:jc w:val="both"/>
              <w:rPr>
                <w:rFonts w:cstheme="minorHAnsi"/>
                <w:color w:val="000000" w:themeColor="text1"/>
                <w:sz w:val="24"/>
                <w:szCs w:val="24"/>
              </w:rPr>
            </w:pPr>
            <w:r w:rsidRPr="00FB549D">
              <w:rPr>
                <w:rFonts w:cstheme="minorHAnsi"/>
                <w:color w:val="000000" w:themeColor="text1"/>
                <w:sz w:val="24"/>
                <w:szCs w:val="24"/>
              </w:rPr>
              <w:t>Vaccine development, biomarkers, tissue regeneration</w:t>
            </w:r>
            <w:r>
              <w:rPr>
                <w:rFonts w:cstheme="minorHAnsi"/>
                <w:color w:val="000000" w:themeColor="text1"/>
                <w:sz w:val="24"/>
                <w:szCs w:val="24"/>
              </w:rPr>
              <w:t>,</w:t>
            </w:r>
            <w:r w:rsidRPr="00FB549D">
              <w:rPr>
                <w:rFonts w:cstheme="minorHAnsi"/>
                <w:color w:val="000000" w:themeColor="text1"/>
                <w:sz w:val="24"/>
                <w:szCs w:val="24"/>
              </w:rPr>
              <w:t xml:space="preserve"> and others</w:t>
            </w:r>
          </w:p>
        </w:tc>
      </w:tr>
      <w:tr w:rsidR="0078129B" w:rsidRPr="00FB549D" w:rsidTr="00DF6601">
        <w:trPr>
          <w:trHeight w:val="332"/>
        </w:trPr>
        <w:tc>
          <w:tcPr>
            <w:tcW w:w="2875" w:type="dxa"/>
          </w:tcPr>
          <w:p w:rsidR="0078129B" w:rsidRPr="00FB549D" w:rsidRDefault="0078129B" w:rsidP="00DF6601">
            <w:pPr>
              <w:jc w:val="both"/>
              <w:rPr>
                <w:rFonts w:cstheme="minorHAnsi"/>
                <w:color w:val="000000" w:themeColor="text1"/>
                <w:sz w:val="24"/>
                <w:szCs w:val="24"/>
              </w:rPr>
            </w:pPr>
            <w:r>
              <w:rPr>
                <w:rFonts w:cstheme="minorHAnsi"/>
                <w:color w:val="000000" w:themeColor="text1"/>
                <w:sz w:val="24"/>
                <w:szCs w:val="24"/>
              </w:rPr>
              <w:t>By End-user</w:t>
            </w:r>
          </w:p>
        </w:tc>
        <w:tc>
          <w:tcPr>
            <w:tcW w:w="6475" w:type="dxa"/>
          </w:tcPr>
          <w:p w:rsidR="0078129B" w:rsidRPr="00FB549D" w:rsidRDefault="0078129B" w:rsidP="00DF6601">
            <w:pPr>
              <w:jc w:val="both"/>
              <w:rPr>
                <w:rFonts w:cstheme="minorHAnsi"/>
                <w:color w:val="000000" w:themeColor="text1"/>
                <w:sz w:val="24"/>
                <w:szCs w:val="24"/>
              </w:rPr>
            </w:pPr>
            <w:r w:rsidRPr="00FB549D">
              <w:rPr>
                <w:rFonts w:cstheme="minorHAnsi"/>
                <w:color w:val="000000" w:themeColor="text1"/>
                <w:sz w:val="24"/>
                <w:szCs w:val="24"/>
              </w:rPr>
              <w:t>Pharmaceutical &amp; biotechnology companies, academic &amp; research institutes</w:t>
            </w:r>
            <w:r>
              <w:rPr>
                <w:rFonts w:cstheme="minorHAnsi"/>
                <w:color w:val="000000" w:themeColor="text1"/>
                <w:sz w:val="24"/>
                <w:szCs w:val="24"/>
              </w:rPr>
              <w:t>,</w:t>
            </w:r>
            <w:r w:rsidRPr="00FB549D">
              <w:rPr>
                <w:rFonts w:cstheme="minorHAnsi"/>
                <w:color w:val="000000" w:themeColor="text1"/>
                <w:sz w:val="24"/>
                <w:szCs w:val="24"/>
              </w:rPr>
              <w:t xml:space="preserve"> and hospitals &amp; diagnostics centers </w:t>
            </w:r>
          </w:p>
        </w:tc>
      </w:tr>
      <w:tr w:rsidR="0078129B" w:rsidRPr="00FB549D" w:rsidTr="00DF6601">
        <w:trPr>
          <w:trHeight w:val="260"/>
        </w:trPr>
        <w:tc>
          <w:tcPr>
            <w:tcW w:w="2875" w:type="dxa"/>
          </w:tcPr>
          <w:p w:rsidR="0078129B" w:rsidRPr="00FB549D" w:rsidRDefault="0078129B" w:rsidP="00DF6601">
            <w:pPr>
              <w:jc w:val="both"/>
              <w:rPr>
                <w:rFonts w:cstheme="minorHAnsi"/>
                <w:color w:val="000000" w:themeColor="text1"/>
                <w:sz w:val="24"/>
                <w:szCs w:val="24"/>
              </w:rPr>
            </w:pPr>
            <w:r w:rsidRPr="00FB549D">
              <w:rPr>
                <w:rFonts w:cstheme="minorHAnsi"/>
                <w:color w:val="000000" w:themeColor="text1"/>
                <w:sz w:val="24"/>
                <w:szCs w:val="24"/>
              </w:rPr>
              <w:t>Region</w:t>
            </w:r>
          </w:p>
        </w:tc>
        <w:tc>
          <w:tcPr>
            <w:tcW w:w="6475" w:type="dxa"/>
          </w:tcPr>
          <w:p w:rsidR="0078129B" w:rsidRPr="00FB549D" w:rsidRDefault="0078129B" w:rsidP="00DF6601">
            <w:pPr>
              <w:jc w:val="both"/>
              <w:rPr>
                <w:rFonts w:cstheme="minorHAnsi"/>
                <w:color w:val="000000" w:themeColor="text1"/>
                <w:sz w:val="24"/>
                <w:szCs w:val="24"/>
              </w:rPr>
            </w:pPr>
            <w:r w:rsidRPr="00FB549D">
              <w:rPr>
                <w:rFonts w:cstheme="minorHAnsi"/>
                <w:color w:val="000000" w:themeColor="text1"/>
                <w:sz w:val="24"/>
                <w:szCs w:val="24"/>
                <w:shd w:val="clear" w:color="auto" w:fill="FFFFFF"/>
              </w:rPr>
              <w:t>North America, Europe, Asia-Pacific, Latin America, and Middle-East &amp; Africa</w:t>
            </w:r>
          </w:p>
        </w:tc>
      </w:tr>
      <w:tr w:rsidR="0078129B" w:rsidRPr="00FB549D" w:rsidTr="00DF6601">
        <w:tc>
          <w:tcPr>
            <w:tcW w:w="2875" w:type="dxa"/>
          </w:tcPr>
          <w:p w:rsidR="0078129B" w:rsidRPr="00FB549D" w:rsidRDefault="0078129B" w:rsidP="00DF6601">
            <w:pPr>
              <w:jc w:val="both"/>
              <w:rPr>
                <w:rFonts w:cstheme="minorHAnsi"/>
                <w:color w:val="000000" w:themeColor="text1"/>
                <w:sz w:val="24"/>
                <w:szCs w:val="24"/>
              </w:rPr>
            </w:pPr>
            <w:r w:rsidRPr="00FB549D">
              <w:rPr>
                <w:rFonts w:cstheme="minorHAnsi"/>
                <w:color w:val="000000" w:themeColor="text1"/>
                <w:sz w:val="24"/>
                <w:szCs w:val="24"/>
              </w:rPr>
              <w:t>Countries Covered</w:t>
            </w:r>
          </w:p>
        </w:tc>
        <w:tc>
          <w:tcPr>
            <w:tcW w:w="6475" w:type="dxa"/>
          </w:tcPr>
          <w:p w:rsidR="0078129B" w:rsidRPr="00FB549D" w:rsidRDefault="0078129B" w:rsidP="00DF6601">
            <w:pPr>
              <w:jc w:val="both"/>
              <w:rPr>
                <w:rFonts w:cstheme="minorHAnsi"/>
                <w:color w:val="000000" w:themeColor="text1"/>
                <w:sz w:val="24"/>
                <w:szCs w:val="24"/>
              </w:rPr>
            </w:pPr>
            <w:r w:rsidRPr="00FB549D">
              <w:rPr>
                <w:rFonts w:cstheme="minorHAnsi"/>
                <w:color w:val="000000" w:themeColor="text1"/>
                <w:sz w:val="24"/>
                <w:szCs w:val="24"/>
              </w:rPr>
              <w:t xml:space="preserve">U.S., Canada, U.K., Germany, France, China, Japan, India, South Korea, Brazil, Mexico, UAE, Saudi Arabia, </w:t>
            </w:r>
            <w:r>
              <w:rPr>
                <w:rFonts w:cstheme="minorHAnsi"/>
                <w:color w:val="000000" w:themeColor="text1"/>
                <w:sz w:val="24"/>
                <w:szCs w:val="24"/>
              </w:rPr>
              <w:t xml:space="preserve">and </w:t>
            </w:r>
            <w:r w:rsidRPr="00FB549D">
              <w:rPr>
                <w:rFonts w:cstheme="minorHAnsi"/>
                <w:color w:val="000000" w:themeColor="text1"/>
                <w:sz w:val="24"/>
                <w:szCs w:val="24"/>
              </w:rPr>
              <w:t>South Africa, among others</w:t>
            </w:r>
          </w:p>
        </w:tc>
      </w:tr>
      <w:tr w:rsidR="0078129B" w:rsidRPr="00FB549D" w:rsidTr="00DF6601">
        <w:tc>
          <w:tcPr>
            <w:tcW w:w="2875" w:type="dxa"/>
          </w:tcPr>
          <w:p w:rsidR="0078129B" w:rsidRPr="00FB549D" w:rsidRDefault="0078129B" w:rsidP="00DF6601">
            <w:pPr>
              <w:jc w:val="both"/>
              <w:rPr>
                <w:rFonts w:cstheme="minorHAnsi"/>
                <w:color w:val="000000" w:themeColor="text1"/>
                <w:sz w:val="24"/>
                <w:szCs w:val="24"/>
              </w:rPr>
            </w:pPr>
            <w:r w:rsidRPr="00FB549D">
              <w:rPr>
                <w:rFonts w:cstheme="minorHAnsi"/>
                <w:color w:val="000000" w:themeColor="text1"/>
                <w:sz w:val="24"/>
                <w:szCs w:val="24"/>
              </w:rPr>
              <w:t>Major Market Players</w:t>
            </w:r>
          </w:p>
        </w:tc>
        <w:tc>
          <w:tcPr>
            <w:tcW w:w="6475" w:type="dxa"/>
          </w:tcPr>
          <w:p w:rsidR="0078129B" w:rsidRPr="00FB549D" w:rsidDel="00E4747E" w:rsidRDefault="0078129B" w:rsidP="00DF6601">
            <w:pPr>
              <w:jc w:val="both"/>
              <w:rPr>
                <w:rFonts w:cstheme="minorHAnsi"/>
                <w:color w:val="000000" w:themeColor="text1"/>
                <w:sz w:val="24"/>
                <w:szCs w:val="24"/>
              </w:rPr>
            </w:pPr>
            <w:r w:rsidRPr="00FB549D">
              <w:rPr>
                <w:rFonts w:cstheme="minorHAnsi"/>
                <w:color w:val="000000" w:themeColor="text1"/>
                <w:sz w:val="24"/>
                <w:szCs w:val="24"/>
              </w:rPr>
              <w:t xml:space="preserve">Pfizer Inc., </w:t>
            </w:r>
            <w:proofErr w:type="spellStart"/>
            <w:r w:rsidRPr="00FB549D">
              <w:rPr>
                <w:rFonts w:cstheme="minorHAnsi"/>
                <w:color w:val="000000" w:themeColor="text1"/>
                <w:sz w:val="24"/>
                <w:szCs w:val="24"/>
              </w:rPr>
              <w:t>Diagenode</w:t>
            </w:r>
            <w:proofErr w:type="spellEnd"/>
            <w:r w:rsidRPr="00FB549D">
              <w:rPr>
                <w:rFonts w:cstheme="minorHAnsi"/>
                <w:color w:val="000000" w:themeColor="text1"/>
                <w:sz w:val="24"/>
                <w:szCs w:val="24"/>
              </w:rPr>
              <w:t xml:space="preserve"> Inc., Sun Pharmaceutical Industries Ltd., Novartis AG, Hitachi Chemical Diagnostics Inc., Johnsons &amp; Johnsons Services, Inc., </w:t>
            </w:r>
            <w:proofErr w:type="spellStart"/>
            <w:r w:rsidRPr="00FB549D">
              <w:rPr>
                <w:rFonts w:cstheme="minorHAnsi"/>
                <w:color w:val="000000" w:themeColor="text1"/>
                <w:sz w:val="24"/>
                <w:szCs w:val="24"/>
              </w:rPr>
              <w:t>Qiagen</w:t>
            </w:r>
            <w:proofErr w:type="spellEnd"/>
            <w:r w:rsidRPr="00FB549D">
              <w:rPr>
                <w:rFonts w:cstheme="minorHAnsi"/>
                <w:color w:val="000000" w:themeColor="text1"/>
                <w:sz w:val="24"/>
                <w:szCs w:val="24"/>
              </w:rPr>
              <w:t xml:space="preserve">,  Dr. Reddy’s laboratories Ltd., Danaher, GSK plc., </w:t>
            </w:r>
            <w:proofErr w:type="spellStart"/>
            <w:r w:rsidRPr="00FB549D">
              <w:rPr>
                <w:rFonts w:cstheme="minorHAnsi"/>
                <w:color w:val="000000" w:themeColor="text1"/>
                <w:sz w:val="24"/>
                <w:szCs w:val="24"/>
              </w:rPr>
              <w:t>Lonza</w:t>
            </w:r>
            <w:proofErr w:type="spellEnd"/>
            <w:r w:rsidRPr="00FB549D">
              <w:rPr>
                <w:rFonts w:cstheme="minorHAnsi"/>
                <w:color w:val="000000" w:themeColor="text1"/>
                <w:sz w:val="24"/>
                <w:szCs w:val="24"/>
              </w:rPr>
              <w:t>, Church &amp; Dwight Co., Inc</w:t>
            </w:r>
            <w:r>
              <w:rPr>
                <w:rFonts w:cstheme="minorHAnsi"/>
                <w:color w:val="000000" w:themeColor="text1"/>
                <w:sz w:val="24"/>
                <w:szCs w:val="24"/>
              </w:rPr>
              <w:t>.</w:t>
            </w:r>
          </w:p>
        </w:tc>
      </w:tr>
    </w:tbl>
    <w:p w:rsidR="00425B21" w:rsidRPr="006F351E" w:rsidRDefault="00425B21" w:rsidP="001D24C6">
      <w:pPr>
        <w:spacing w:after="0" w:line="240" w:lineRule="auto"/>
        <w:jc w:val="both"/>
        <w:rPr>
          <w:sz w:val="24"/>
          <w:szCs w:val="24"/>
        </w:rPr>
      </w:pPr>
    </w:p>
    <w:p w:rsidR="001D24C6" w:rsidRPr="006F351E" w:rsidRDefault="001D24C6" w:rsidP="001D24C6">
      <w:pPr>
        <w:jc w:val="both"/>
        <w:rPr>
          <w:rFonts w:cstheme="minorHAnsi"/>
          <w:b/>
          <w:color w:val="222222"/>
          <w:sz w:val="24"/>
          <w:szCs w:val="24"/>
          <w:shd w:val="clear" w:color="auto" w:fill="FFFFFF"/>
        </w:rPr>
      </w:pPr>
      <w:r w:rsidRPr="006F351E">
        <w:rPr>
          <w:rFonts w:cstheme="minorHAnsi"/>
          <w:b/>
          <w:color w:val="222222"/>
          <w:sz w:val="24"/>
          <w:szCs w:val="24"/>
          <w:shd w:val="clear" w:color="auto" w:fill="FFFFFF"/>
        </w:rPr>
        <w:t>Segmentation Overview:</w:t>
      </w:r>
    </w:p>
    <w:p w:rsidR="003E2DC3" w:rsidRPr="006F351E" w:rsidRDefault="0098131E" w:rsidP="003E2DC3">
      <w:pPr>
        <w:spacing w:line="240" w:lineRule="auto"/>
        <w:jc w:val="both"/>
        <w:rPr>
          <w:color w:val="000000" w:themeColor="text1"/>
          <w:sz w:val="24"/>
          <w:szCs w:val="24"/>
        </w:rPr>
      </w:pPr>
      <w:r w:rsidRPr="006F351E">
        <w:rPr>
          <w:rFonts w:cstheme="minorHAnsi"/>
          <w:sz w:val="24"/>
          <w:szCs w:val="24"/>
        </w:rPr>
        <w:t xml:space="preserve">The exosomes market is segmented based on various factors such as product type, therapy type, application, and </w:t>
      </w:r>
      <w:r w:rsidR="00E75712" w:rsidRPr="006F351E">
        <w:rPr>
          <w:rFonts w:cstheme="minorHAnsi"/>
          <w:sz w:val="24"/>
          <w:szCs w:val="24"/>
        </w:rPr>
        <w:t>end-</w:t>
      </w:r>
      <w:proofErr w:type="spellStart"/>
      <w:r w:rsidRPr="006F351E">
        <w:rPr>
          <w:rFonts w:cstheme="minorHAnsi"/>
          <w:sz w:val="24"/>
          <w:szCs w:val="24"/>
        </w:rPr>
        <w:t>use.</w:t>
      </w:r>
      <w:r w:rsidR="003E2DC3" w:rsidRPr="006F351E">
        <w:rPr>
          <w:color w:val="000000" w:themeColor="text1"/>
          <w:sz w:val="24"/>
          <w:szCs w:val="24"/>
        </w:rPr>
        <w:t>The</w:t>
      </w:r>
      <w:proofErr w:type="spellEnd"/>
      <w:r w:rsidR="003E2DC3" w:rsidRPr="006F351E">
        <w:rPr>
          <w:color w:val="000000" w:themeColor="text1"/>
          <w:sz w:val="24"/>
          <w:szCs w:val="24"/>
        </w:rPr>
        <w:t xml:space="preserve"> exosome market is primarily dominated by the kits and reagents segment, tailored to each sequencing platform for optimal results. These technological advancements aid researchers in exploring new biomarkers for </w:t>
      </w:r>
      <w:r w:rsidR="00495CEE" w:rsidRPr="006F351E">
        <w:rPr>
          <w:color w:val="000000" w:themeColor="text1"/>
          <w:sz w:val="24"/>
          <w:szCs w:val="24"/>
        </w:rPr>
        <w:t>therapeutic</w:t>
      </w:r>
      <w:r w:rsidR="003E2DC3" w:rsidRPr="006F351E">
        <w:rPr>
          <w:color w:val="000000" w:themeColor="text1"/>
          <w:sz w:val="24"/>
          <w:szCs w:val="24"/>
        </w:rPr>
        <w:t xml:space="preserve"> and diagnostic applications.</w:t>
      </w:r>
    </w:p>
    <w:p w:rsidR="006C4B9F" w:rsidRPr="006F351E" w:rsidRDefault="003E2DC3" w:rsidP="003E2DC3">
      <w:pPr>
        <w:spacing w:line="240" w:lineRule="auto"/>
        <w:jc w:val="both"/>
        <w:rPr>
          <w:color w:val="000000" w:themeColor="text1"/>
          <w:sz w:val="24"/>
          <w:szCs w:val="24"/>
        </w:rPr>
      </w:pPr>
      <w:r w:rsidRPr="006F351E">
        <w:rPr>
          <w:color w:val="000000" w:themeColor="text1"/>
          <w:sz w:val="24"/>
          <w:szCs w:val="24"/>
        </w:rPr>
        <w:t>The biomarker segment leads the market in terms of application for exosomes. Exosomes, extracted from easily accessible physiological fluids like saliva, blood, and urine, are highly valued as biomarkers for treating various disorders.</w:t>
      </w:r>
    </w:p>
    <w:p w:rsidR="004E6381" w:rsidRDefault="00C273FA" w:rsidP="003E2DC3">
      <w:pPr>
        <w:spacing w:line="240" w:lineRule="auto"/>
        <w:jc w:val="both"/>
        <w:rPr>
          <w:rFonts w:cstheme="minorHAnsi"/>
          <w:sz w:val="24"/>
          <w:szCs w:val="24"/>
        </w:rPr>
      </w:pPr>
      <w:r w:rsidRPr="006F351E">
        <w:rPr>
          <w:rFonts w:cstheme="minorHAnsi"/>
          <w:sz w:val="24"/>
          <w:szCs w:val="24"/>
        </w:rPr>
        <w:t xml:space="preserve">The market in North America </w:t>
      </w:r>
      <w:r w:rsidR="00DC3737">
        <w:rPr>
          <w:rFonts w:cstheme="minorHAnsi"/>
          <w:sz w:val="24"/>
          <w:szCs w:val="24"/>
        </w:rPr>
        <w:t>accounts for</w:t>
      </w:r>
      <w:r w:rsidRPr="006F351E">
        <w:rPr>
          <w:rFonts w:cstheme="minorHAnsi"/>
          <w:sz w:val="24"/>
          <w:szCs w:val="24"/>
        </w:rPr>
        <w:t xml:space="preserve"> the highest revenue share, mainly due to government funding for biomarkers and the prevalence of chronic diseases such as cancer and heart disease. This category is expected to rise as research and development for innovative treatments, diagnostics, and techniques increase.</w:t>
      </w:r>
    </w:p>
    <w:p w:rsidR="00425B21" w:rsidRDefault="00425B21" w:rsidP="00425B21">
      <w:pPr>
        <w:jc w:val="both"/>
        <w:rPr>
          <w:b/>
          <w:sz w:val="24"/>
        </w:rPr>
      </w:pPr>
      <w:r>
        <w:rPr>
          <w:b/>
          <w:sz w:val="24"/>
        </w:rPr>
        <w:t>Buy This Research Report:</w:t>
      </w:r>
    </w:p>
    <w:p w:rsidR="00425B21" w:rsidRPr="006F351E" w:rsidRDefault="00425B21" w:rsidP="003E2DC3">
      <w:pPr>
        <w:spacing w:line="240" w:lineRule="auto"/>
        <w:jc w:val="both"/>
        <w:rPr>
          <w:rFonts w:cstheme="minorHAnsi"/>
          <w:sz w:val="24"/>
          <w:szCs w:val="24"/>
        </w:rPr>
      </w:pPr>
    </w:p>
    <w:p w:rsidR="001D24C6" w:rsidRPr="006F351E" w:rsidRDefault="001D24C6" w:rsidP="001D24C6">
      <w:pPr>
        <w:spacing w:line="240" w:lineRule="auto"/>
        <w:jc w:val="both"/>
        <w:rPr>
          <w:rFonts w:ascii="Calibri" w:eastAsia="Times New Roman" w:hAnsi="Calibri" w:cs="Calibri"/>
          <w:b/>
          <w:bCs/>
          <w:color w:val="000000"/>
          <w:sz w:val="24"/>
          <w:szCs w:val="24"/>
        </w:rPr>
      </w:pPr>
      <w:r w:rsidRPr="006F351E">
        <w:rPr>
          <w:rFonts w:ascii="Calibri" w:eastAsia="Times New Roman" w:hAnsi="Calibri" w:cs="Calibri"/>
          <w:b/>
          <w:bCs/>
          <w:color w:val="000000"/>
          <w:sz w:val="24"/>
          <w:szCs w:val="24"/>
        </w:rPr>
        <w:t xml:space="preserve">Key Developments in the </w:t>
      </w:r>
      <w:r w:rsidR="00166950" w:rsidRPr="006F351E">
        <w:rPr>
          <w:rFonts w:ascii="Calibri" w:hAnsi="Calibri" w:cs="Calibri"/>
          <w:b/>
          <w:sz w:val="24"/>
          <w:szCs w:val="24"/>
        </w:rPr>
        <w:t>Exosomes Market</w:t>
      </w:r>
      <w:r w:rsidRPr="006F351E">
        <w:rPr>
          <w:rFonts w:ascii="Calibri" w:eastAsia="Times New Roman" w:hAnsi="Calibri" w:cs="Calibri"/>
          <w:b/>
          <w:bCs/>
          <w:color w:val="000000"/>
          <w:sz w:val="24"/>
          <w:szCs w:val="24"/>
        </w:rPr>
        <w:t>:</w:t>
      </w:r>
    </w:p>
    <w:p w:rsidR="00EB1CA1" w:rsidRPr="006F351E" w:rsidRDefault="00EB1CA1" w:rsidP="00EB1CA1">
      <w:pPr>
        <w:pStyle w:val="ListParagraph"/>
        <w:numPr>
          <w:ilvl w:val="0"/>
          <w:numId w:val="3"/>
        </w:numPr>
        <w:spacing w:line="240" w:lineRule="auto"/>
        <w:jc w:val="both"/>
        <w:rPr>
          <w:sz w:val="24"/>
          <w:szCs w:val="24"/>
        </w:rPr>
      </w:pPr>
      <w:r w:rsidRPr="006F351E">
        <w:rPr>
          <w:sz w:val="24"/>
          <w:szCs w:val="24"/>
        </w:rPr>
        <w:t xml:space="preserve">The European Commission has approved Pfizer's LITFULO for treating severe alopecia </w:t>
      </w:r>
      <w:proofErr w:type="spellStart"/>
      <w:r w:rsidRPr="006F351E">
        <w:rPr>
          <w:sz w:val="24"/>
          <w:szCs w:val="24"/>
        </w:rPr>
        <w:t>areata</w:t>
      </w:r>
      <w:proofErr w:type="spellEnd"/>
      <w:r w:rsidRPr="006F351E">
        <w:rPr>
          <w:sz w:val="24"/>
          <w:szCs w:val="24"/>
        </w:rPr>
        <w:t xml:space="preserve"> in adults and adolescents aged 12 and up. It's the first drug to receive such approval from the EC for treating individuals as young as 12. </w:t>
      </w:r>
    </w:p>
    <w:p w:rsidR="001D24C6" w:rsidRPr="006F351E" w:rsidRDefault="00EB1CA1" w:rsidP="00EB1CA1">
      <w:pPr>
        <w:pStyle w:val="ListParagraph"/>
        <w:numPr>
          <w:ilvl w:val="0"/>
          <w:numId w:val="3"/>
        </w:numPr>
        <w:spacing w:line="240" w:lineRule="auto"/>
        <w:jc w:val="both"/>
        <w:rPr>
          <w:sz w:val="24"/>
          <w:szCs w:val="24"/>
        </w:rPr>
      </w:pPr>
      <w:r w:rsidRPr="006F351E">
        <w:rPr>
          <w:sz w:val="24"/>
          <w:szCs w:val="24"/>
        </w:rPr>
        <w:lastRenderedPageBreak/>
        <w:t>Dr. Reddy's Labs has launched a generic version of KOMBIGLYZE® XR tablets in the US market, approved by the FDA.</w:t>
      </w:r>
    </w:p>
    <w:p w:rsidR="001D24C6" w:rsidRPr="006F351E" w:rsidRDefault="00166950" w:rsidP="001D24C6">
      <w:pPr>
        <w:spacing w:line="240" w:lineRule="auto"/>
        <w:jc w:val="both"/>
        <w:rPr>
          <w:sz w:val="24"/>
          <w:szCs w:val="24"/>
        </w:rPr>
      </w:pPr>
      <w:r w:rsidRPr="006F351E">
        <w:rPr>
          <w:rFonts w:ascii="Calibri" w:hAnsi="Calibri" w:cs="Calibri"/>
          <w:b/>
          <w:sz w:val="24"/>
          <w:szCs w:val="24"/>
        </w:rPr>
        <w:t>Exosomes Market</w:t>
      </w:r>
      <w:r w:rsidRPr="006F351E">
        <w:rPr>
          <w:rFonts w:ascii="Calibri" w:hAnsi="Calibri" w:cs="Calibri"/>
          <w:sz w:val="24"/>
          <w:szCs w:val="24"/>
        </w:rPr>
        <w:t xml:space="preserve"> </w:t>
      </w:r>
      <w:r w:rsidR="001D24C6" w:rsidRPr="006F351E">
        <w:rPr>
          <w:rFonts w:ascii="Calibri" w:eastAsia="Times New Roman" w:hAnsi="Calibri" w:cs="Calibri"/>
          <w:b/>
          <w:bCs/>
          <w:color w:val="000000"/>
          <w:sz w:val="24"/>
          <w:szCs w:val="24"/>
        </w:rPr>
        <w:t>Report Highlights:</w:t>
      </w:r>
    </w:p>
    <w:p w:rsidR="009B50C8" w:rsidRPr="006F351E" w:rsidRDefault="003569D9" w:rsidP="0052103B">
      <w:pPr>
        <w:pStyle w:val="ListParagraph"/>
        <w:numPr>
          <w:ilvl w:val="0"/>
          <w:numId w:val="1"/>
        </w:numPr>
        <w:spacing w:line="276" w:lineRule="auto"/>
        <w:jc w:val="both"/>
        <w:rPr>
          <w:rFonts w:cstheme="minorHAnsi"/>
          <w:sz w:val="24"/>
          <w:szCs w:val="24"/>
        </w:rPr>
      </w:pPr>
      <w:r w:rsidRPr="006F351E">
        <w:rPr>
          <w:rFonts w:cstheme="minorHAnsi"/>
          <w:sz w:val="24"/>
          <w:szCs w:val="24"/>
        </w:rPr>
        <w:t xml:space="preserve">The </w:t>
      </w:r>
      <w:r w:rsidRPr="006F351E">
        <w:rPr>
          <w:rFonts w:ascii="Calibri" w:hAnsi="Calibri" w:cs="Calibri"/>
          <w:sz w:val="24"/>
          <w:szCs w:val="24"/>
        </w:rPr>
        <w:t xml:space="preserve">Exosomes Market </w:t>
      </w:r>
      <w:r w:rsidRPr="006F351E">
        <w:rPr>
          <w:rFonts w:cstheme="minorHAnsi"/>
          <w:sz w:val="24"/>
          <w:szCs w:val="24"/>
        </w:rPr>
        <w:t xml:space="preserve">is estimated to reach a market with a CAGR of 28.7% by 2032. </w:t>
      </w:r>
      <w:r w:rsidR="008637A0" w:rsidRPr="006F351E">
        <w:rPr>
          <w:rFonts w:cstheme="minorHAnsi"/>
          <w:sz w:val="24"/>
          <w:szCs w:val="24"/>
        </w:rPr>
        <w:t xml:space="preserve">Exosomes are small vesicles that transport genetic material and proteins, aiding in communication between cells and immune responses. They are being studied for their potential in diagnosing and treating diseases such as cancer, neurodegeneration, and cardiovascular dysfunction. </w:t>
      </w:r>
    </w:p>
    <w:p w:rsidR="003569D9" w:rsidRPr="006F351E" w:rsidRDefault="003569D9" w:rsidP="0052103B">
      <w:pPr>
        <w:pStyle w:val="ListParagraph"/>
        <w:numPr>
          <w:ilvl w:val="0"/>
          <w:numId w:val="1"/>
        </w:numPr>
        <w:spacing w:line="276" w:lineRule="auto"/>
        <w:jc w:val="both"/>
        <w:rPr>
          <w:rFonts w:cstheme="minorHAnsi"/>
          <w:sz w:val="24"/>
          <w:szCs w:val="24"/>
        </w:rPr>
      </w:pPr>
      <w:r w:rsidRPr="006F351E">
        <w:rPr>
          <w:rFonts w:cstheme="minorHAnsi"/>
          <w:sz w:val="24"/>
          <w:szCs w:val="24"/>
        </w:rPr>
        <w:t>The exosome market is led by kits and reagents customized for various sequencing platforms, enabling researchers to identify new biomarkers for therapeutic and diagnostic purposes. Exosomes are valuable biomarkers for treating disorders and can be extracted from saliva, blood, and urine.</w:t>
      </w:r>
    </w:p>
    <w:p w:rsidR="003569D9" w:rsidRPr="006F351E" w:rsidRDefault="003569D9" w:rsidP="003569D9">
      <w:pPr>
        <w:pStyle w:val="ListParagraph"/>
        <w:numPr>
          <w:ilvl w:val="0"/>
          <w:numId w:val="1"/>
        </w:numPr>
        <w:spacing w:line="276" w:lineRule="auto"/>
        <w:jc w:val="both"/>
        <w:rPr>
          <w:rFonts w:cstheme="minorHAnsi"/>
          <w:sz w:val="24"/>
          <w:szCs w:val="24"/>
        </w:rPr>
      </w:pPr>
      <w:r w:rsidRPr="006F351E">
        <w:rPr>
          <w:rFonts w:cstheme="minorHAnsi"/>
          <w:sz w:val="24"/>
          <w:szCs w:val="24"/>
        </w:rPr>
        <w:t xml:space="preserve">North America leads the market with government funding and growing chronic disease rates. Research and development efforts are expected to boost the segment further. </w:t>
      </w:r>
    </w:p>
    <w:p w:rsidR="004A6E19" w:rsidRPr="006F351E" w:rsidRDefault="004A6E19" w:rsidP="003569D9">
      <w:pPr>
        <w:pStyle w:val="ListParagraph"/>
        <w:numPr>
          <w:ilvl w:val="0"/>
          <w:numId w:val="1"/>
        </w:numPr>
        <w:spacing w:line="276" w:lineRule="auto"/>
        <w:jc w:val="both"/>
        <w:rPr>
          <w:rFonts w:cstheme="minorHAnsi"/>
          <w:sz w:val="24"/>
          <w:szCs w:val="24"/>
        </w:rPr>
      </w:pPr>
      <w:r w:rsidRPr="006F351E">
        <w:rPr>
          <w:rFonts w:cstheme="minorHAnsi"/>
          <w:sz w:val="24"/>
          <w:szCs w:val="24"/>
        </w:rPr>
        <w:t>Some major key players in the global exosomes market</w:t>
      </w:r>
      <w:r w:rsidR="00942BAB">
        <w:rPr>
          <w:rFonts w:cstheme="minorHAnsi"/>
          <w:sz w:val="24"/>
          <w:szCs w:val="24"/>
        </w:rPr>
        <w:t xml:space="preserve"> report include</w:t>
      </w:r>
      <w:r w:rsidRPr="006F351E">
        <w:rPr>
          <w:rFonts w:cstheme="minorHAnsi"/>
          <w:sz w:val="24"/>
          <w:szCs w:val="24"/>
        </w:rPr>
        <w:t xml:space="preserve"> Pfizer Inc., </w:t>
      </w:r>
      <w:proofErr w:type="spellStart"/>
      <w:r w:rsidRPr="006F351E">
        <w:rPr>
          <w:rFonts w:cstheme="minorHAnsi"/>
          <w:sz w:val="24"/>
          <w:szCs w:val="24"/>
        </w:rPr>
        <w:t>Diagenode</w:t>
      </w:r>
      <w:proofErr w:type="spellEnd"/>
      <w:r w:rsidRPr="006F351E">
        <w:rPr>
          <w:rFonts w:cstheme="minorHAnsi"/>
          <w:sz w:val="24"/>
          <w:szCs w:val="24"/>
        </w:rPr>
        <w:t xml:space="preserve"> Inc., Sun Pharmaceutical Industries Ltd., Novartis AG, Hitachi Chemical Diagnostics Inc., Johnsons &amp; Johnsons Services, Inc., </w:t>
      </w:r>
      <w:proofErr w:type="spellStart"/>
      <w:r w:rsidRPr="006F351E">
        <w:rPr>
          <w:rFonts w:cstheme="minorHAnsi"/>
          <w:sz w:val="24"/>
          <w:szCs w:val="24"/>
        </w:rPr>
        <w:t>Qiagen</w:t>
      </w:r>
      <w:proofErr w:type="spellEnd"/>
      <w:r w:rsidRPr="006F351E">
        <w:rPr>
          <w:rFonts w:cstheme="minorHAnsi"/>
          <w:sz w:val="24"/>
          <w:szCs w:val="24"/>
        </w:rPr>
        <w:t xml:space="preserve">, </w:t>
      </w:r>
      <w:proofErr w:type="spellStart"/>
      <w:r w:rsidRPr="006F351E">
        <w:rPr>
          <w:rFonts w:cstheme="minorHAnsi"/>
          <w:sz w:val="24"/>
          <w:szCs w:val="24"/>
        </w:rPr>
        <w:t>Lonza</w:t>
      </w:r>
      <w:proofErr w:type="spellEnd"/>
      <w:r w:rsidRPr="006F351E">
        <w:rPr>
          <w:rFonts w:cstheme="minorHAnsi"/>
          <w:sz w:val="24"/>
          <w:szCs w:val="24"/>
        </w:rPr>
        <w:t xml:space="preserve">, Dr. Reddy’s laboratories Ltd., Danaher, GSK plc, Church &amp; Dwight Co., Inc. </w:t>
      </w:r>
    </w:p>
    <w:p w:rsidR="00425B21" w:rsidRDefault="00425B21" w:rsidP="00425B21">
      <w:pPr>
        <w:shd w:val="clear" w:color="auto" w:fill="FFFFFF"/>
        <w:spacing w:after="0" w:line="240" w:lineRule="auto"/>
        <w:jc w:val="both"/>
        <w:rPr>
          <w:b/>
          <w:sz w:val="24"/>
        </w:rPr>
      </w:pPr>
      <w:r>
        <w:rPr>
          <w:b/>
          <w:sz w:val="24"/>
        </w:rPr>
        <w:t>Looking Exclusively For Region/Country Specific Report?</w:t>
      </w:r>
    </w:p>
    <w:p w:rsidR="00425B21" w:rsidRDefault="00425B21" w:rsidP="00425B21">
      <w:pPr>
        <w:rPr>
          <w:b/>
          <w:sz w:val="24"/>
        </w:rPr>
      </w:pPr>
      <w:r>
        <w:rPr>
          <w:b/>
          <w:sz w:val="24"/>
        </w:rPr>
        <w:t xml:space="preserve">OR </w:t>
      </w:r>
    </w:p>
    <w:p w:rsidR="00425B21" w:rsidRDefault="00425B21" w:rsidP="00425B21">
      <w:pPr>
        <w:shd w:val="clear" w:color="auto" w:fill="FFFFFF"/>
        <w:spacing w:after="0" w:line="240" w:lineRule="auto"/>
        <w:jc w:val="both"/>
        <w:rPr>
          <w:rFonts w:eastAsia="Times New Roman" w:cstheme="minorHAnsi"/>
          <w:b/>
          <w:bCs/>
          <w:color w:val="000000" w:themeColor="text1"/>
          <w:sz w:val="24"/>
          <w:szCs w:val="24"/>
          <w:u w:val="single"/>
        </w:rPr>
      </w:pPr>
      <w:r>
        <w:rPr>
          <w:b/>
          <w:sz w:val="24"/>
        </w:rPr>
        <w:t>Ask For Discount</w:t>
      </w:r>
    </w:p>
    <w:p w:rsidR="00425B21" w:rsidRDefault="00425B21" w:rsidP="001D24C6">
      <w:pPr>
        <w:shd w:val="clear" w:color="auto" w:fill="FFFFFF"/>
        <w:spacing w:after="0" w:line="240" w:lineRule="auto"/>
        <w:jc w:val="both"/>
        <w:rPr>
          <w:rFonts w:ascii="Calibri" w:hAnsi="Calibri" w:cs="Calibri"/>
          <w:b/>
          <w:u w:val="single"/>
        </w:rPr>
      </w:pPr>
    </w:p>
    <w:p w:rsidR="00425B21" w:rsidRDefault="00425B21" w:rsidP="001D24C6">
      <w:pPr>
        <w:shd w:val="clear" w:color="auto" w:fill="FFFFFF"/>
        <w:spacing w:after="0" w:line="240" w:lineRule="auto"/>
        <w:jc w:val="both"/>
        <w:rPr>
          <w:rFonts w:ascii="Calibri" w:hAnsi="Calibri" w:cs="Calibri"/>
          <w:b/>
          <w:u w:val="single"/>
        </w:rPr>
      </w:pPr>
    </w:p>
    <w:p w:rsidR="00D15824" w:rsidRPr="00C31DD6" w:rsidRDefault="00D15824" w:rsidP="00D15824">
      <w:pPr>
        <w:spacing w:after="0" w:line="360" w:lineRule="auto"/>
        <w:textAlignment w:val="baseline"/>
        <w:rPr>
          <w:rFonts w:eastAsia="Times New Roman" w:cstheme="minorHAnsi"/>
          <w:b/>
          <w:bCs/>
          <w:color w:val="000000"/>
          <w:sz w:val="24"/>
          <w:szCs w:val="24"/>
          <w:u w:val="single"/>
          <w:bdr w:val="none" w:sz="0" w:space="0" w:color="auto" w:frame="1"/>
        </w:rPr>
      </w:pPr>
      <w:r>
        <w:rPr>
          <w:rFonts w:eastAsia="Times New Roman" w:cstheme="minorHAnsi"/>
          <w:b/>
          <w:bCs/>
          <w:color w:val="000000"/>
          <w:sz w:val="24"/>
          <w:szCs w:val="24"/>
          <w:u w:val="single"/>
          <w:bdr w:val="none" w:sz="0" w:space="0" w:color="auto" w:frame="1"/>
        </w:rPr>
        <w:t>Exosomes Market</w:t>
      </w:r>
      <w:r w:rsidRPr="00C31DD6">
        <w:rPr>
          <w:rFonts w:eastAsia="Times New Roman" w:cstheme="minorHAnsi"/>
          <w:b/>
          <w:bCs/>
          <w:color w:val="000000"/>
          <w:sz w:val="24"/>
          <w:szCs w:val="24"/>
          <w:u w:val="single"/>
          <w:bdr w:val="none" w:sz="0" w:space="0" w:color="auto" w:frame="1"/>
        </w:rPr>
        <w:t xml:space="preserve"> Segmentation:</w:t>
      </w:r>
    </w:p>
    <w:p w:rsidR="00D15824" w:rsidRPr="00AB7B1D" w:rsidRDefault="00D15824" w:rsidP="00D15824">
      <w:pPr>
        <w:spacing w:after="0" w:line="360" w:lineRule="auto"/>
        <w:textAlignment w:val="baseline"/>
        <w:rPr>
          <w:rFonts w:eastAsia="Times New Roman" w:cstheme="minorHAnsi"/>
          <w:b/>
          <w:color w:val="000000"/>
          <w:sz w:val="24"/>
          <w:szCs w:val="24"/>
        </w:rPr>
      </w:pPr>
      <w:r w:rsidRPr="00AB7B1D">
        <w:rPr>
          <w:rFonts w:eastAsia="Times New Roman" w:cstheme="minorHAnsi"/>
          <w:b/>
          <w:bCs/>
          <w:color w:val="000000"/>
          <w:sz w:val="24"/>
          <w:szCs w:val="24"/>
          <w:bdr w:val="none" w:sz="0" w:space="0" w:color="auto" w:frame="1"/>
        </w:rPr>
        <w:t>Exosomes Market, By Product Type (2023-2032)</w:t>
      </w:r>
    </w:p>
    <w:p w:rsidR="00D15824" w:rsidRPr="00C31DD6" w:rsidRDefault="00D15824" w:rsidP="00D15824">
      <w:pPr>
        <w:numPr>
          <w:ilvl w:val="0"/>
          <w:numId w:val="5"/>
        </w:numPr>
        <w:spacing w:after="0" w:line="360" w:lineRule="auto"/>
        <w:textAlignment w:val="baseline"/>
        <w:rPr>
          <w:rFonts w:eastAsia="Times New Roman" w:cstheme="minorHAnsi"/>
          <w:color w:val="000000"/>
          <w:sz w:val="24"/>
          <w:szCs w:val="24"/>
        </w:rPr>
      </w:pPr>
      <w:r>
        <w:rPr>
          <w:rFonts w:eastAsia="Times New Roman" w:cstheme="minorHAnsi"/>
          <w:color w:val="000000"/>
          <w:sz w:val="24"/>
          <w:szCs w:val="24"/>
        </w:rPr>
        <w:t>Kits &amp; Reagents</w:t>
      </w:r>
    </w:p>
    <w:p w:rsidR="00D15824" w:rsidRDefault="00D15824" w:rsidP="00D15824">
      <w:pPr>
        <w:numPr>
          <w:ilvl w:val="0"/>
          <w:numId w:val="5"/>
        </w:numPr>
        <w:spacing w:after="0" w:line="360" w:lineRule="auto"/>
        <w:textAlignment w:val="baseline"/>
        <w:rPr>
          <w:rFonts w:eastAsia="Times New Roman" w:cstheme="minorHAnsi"/>
          <w:color w:val="000000"/>
          <w:sz w:val="24"/>
          <w:szCs w:val="24"/>
        </w:rPr>
      </w:pPr>
      <w:r>
        <w:rPr>
          <w:rFonts w:eastAsia="Times New Roman" w:cstheme="minorHAnsi"/>
          <w:color w:val="000000"/>
          <w:sz w:val="24"/>
          <w:szCs w:val="24"/>
        </w:rPr>
        <w:t>Services</w:t>
      </w:r>
    </w:p>
    <w:p w:rsidR="00D15824" w:rsidRPr="00C31DD6" w:rsidRDefault="00D15824" w:rsidP="00D15824">
      <w:pPr>
        <w:numPr>
          <w:ilvl w:val="0"/>
          <w:numId w:val="5"/>
        </w:numPr>
        <w:spacing w:after="0" w:line="360" w:lineRule="auto"/>
        <w:textAlignment w:val="baseline"/>
        <w:rPr>
          <w:rFonts w:eastAsia="Times New Roman" w:cstheme="minorHAnsi"/>
          <w:color w:val="000000"/>
          <w:sz w:val="24"/>
          <w:szCs w:val="24"/>
        </w:rPr>
      </w:pPr>
      <w:r>
        <w:rPr>
          <w:rFonts w:eastAsia="Times New Roman" w:cstheme="minorHAnsi"/>
          <w:color w:val="000000"/>
          <w:sz w:val="24"/>
          <w:szCs w:val="24"/>
        </w:rPr>
        <w:t>Instruments</w:t>
      </w:r>
    </w:p>
    <w:p w:rsidR="00D15824" w:rsidRPr="00AB7B1D" w:rsidRDefault="00D15824" w:rsidP="00D15824">
      <w:pPr>
        <w:spacing w:after="0" w:line="360" w:lineRule="auto"/>
        <w:textAlignment w:val="baseline"/>
        <w:rPr>
          <w:rFonts w:eastAsia="Times New Roman" w:cstheme="minorHAnsi"/>
          <w:b/>
          <w:color w:val="000000"/>
          <w:sz w:val="24"/>
          <w:szCs w:val="24"/>
        </w:rPr>
      </w:pPr>
      <w:r w:rsidRPr="00AB7B1D">
        <w:rPr>
          <w:rFonts w:eastAsia="Times New Roman" w:cstheme="minorHAnsi"/>
          <w:b/>
          <w:bCs/>
          <w:color w:val="000000"/>
          <w:sz w:val="24"/>
          <w:szCs w:val="24"/>
          <w:bdr w:val="none" w:sz="0" w:space="0" w:color="auto" w:frame="1"/>
        </w:rPr>
        <w:t>Exosomes Market, By Therapy (2023-2032)</w:t>
      </w:r>
    </w:p>
    <w:p w:rsidR="00D15824" w:rsidRPr="00C31DD6" w:rsidRDefault="00D15824" w:rsidP="00D15824">
      <w:pPr>
        <w:numPr>
          <w:ilvl w:val="0"/>
          <w:numId w:val="4"/>
        </w:numPr>
        <w:spacing w:after="0" w:line="360" w:lineRule="auto"/>
        <w:textAlignment w:val="baseline"/>
        <w:rPr>
          <w:rFonts w:eastAsia="Times New Roman" w:cstheme="minorHAnsi"/>
          <w:color w:val="000000"/>
          <w:sz w:val="24"/>
          <w:szCs w:val="24"/>
        </w:rPr>
      </w:pPr>
      <w:r>
        <w:rPr>
          <w:rFonts w:eastAsia="Times New Roman" w:cstheme="minorHAnsi"/>
          <w:color w:val="000000"/>
          <w:sz w:val="24"/>
          <w:szCs w:val="24"/>
        </w:rPr>
        <w:t>Immunotherapy</w:t>
      </w:r>
    </w:p>
    <w:p w:rsidR="00D15824" w:rsidRDefault="00D15824" w:rsidP="00D15824">
      <w:pPr>
        <w:numPr>
          <w:ilvl w:val="0"/>
          <w:numId w:val="4"/>
        </w:numPr>
        <w:spacing w:after="0" w:line="360" w:lineRule="auto"/>
        <w:textAlignment w:val="baseline"/>
        <w:rPr>
          <w:rFonts w:eastAsia="Times New Roman" w:cstheme="minorHAnsi"/>
          <w:color w:val="000000"/>
          <w:sz w:val="24"/>
          <w:szCs w:val="24"/>
        </w:rPr>
      </w:pPr>
      <w:r>
        <w:rPr>
          <w:rFonts w:eastAsia="Times New Roman" w:cstheme="minorHAnsi"/>
          <w:color w:val="000000"/>
          <w:sz w:val="24"/>
          <w:szCs w:val="24"/>
        </w:rPr>
        <w:t>Chemotherapy</w:t>
      </w:r>
    </w:p>
    <w:p w:rsidR="00D15824" w:rsidRPr="00C31DD6" w:rsidRDefault="00D15824" w:rsidP="00D15824">
      <w:pPr>
        <w:numPr>
          <w:ilvl w:val="0"/>
          <w:numId w:val="4"/>
        </w:numPr>
        <w:spacing w:after="0" w:line="360" w:lineRule="auto"/>
        <w:textAlignment w:val="baseline"/>
        <w:rPr>
          <w:rFonts w:eastAsia="Times New Roman" w:cstheme="minorHAnsi"/>
          <w:color w:val="000000"/>
          <w:sz w:val="24"/>
          <w:szCs w:val="24"/>
        </w:rPr>
      </w:pPr>
      <w:r>
        <w:rPr>
          <w:rFonts w:eastAsia="Times New Roman" w:cstheme="minorHAnsi"/>
          <w:color w:val="000000"/>
          <w:sz w:val="24"/>
          <w:szCs w:val="24"/>
        </w:rPr>
        <w:t xml:space="preserve">Gene Therapy </w:t>
      </w:r>
    </w:p>
    <w:p w:rsidR="00D15824" w:rsidRPr="00AB7B1D" w:rsidRDefault="00D15824" w:rsidP="00D15824">
      <w:pPr>
        <w:spacing w:after="0" w:line="360" w:lineRule="auto"/>
        <w:textAlignment w:val="baseline"/>
        <w:rPr>
          <w:rFonts w:eastAsia="Times New Roman" w:cstheme="minorHAnsi"/>
          <w:b/>
          <w:color w:val="000000"/>
          <w:sz w:val="24"/>
          <w:szCs w:val="24"/>
        </w:rPr>
      </w:pPr>
      <w:r w:rsidRPr="00AB7B1D">
        <w:rPr>
          <w:rFonts w:eastAsia="Times New Roman" w:cstheme="minorHAnsi"/>
          <w:b/>
          <w:bCs/>
          <w:color w:val="000000"/>
          <w:sz w:val="24"/>
          <w:szCs w:val="24"/>
          <w:bdr w:val="none" w:sz="0" w:space="0" w:color="auto" w:frame="1"/>
        </w:rPr>
        <w:t>Exosomes Market, By Therapy (2023-2032)</w:t>
      </w:r>
    </w:p>
    <w:p w:rsidR="00D15824" w:rsidRPr="00C31DD6" w:rsidRDefault="00D15824" w:rsidP="00D15824">
      <w:pPr>
        <w:numPr>
          <w:ilvl w:val="0"/>
          <w:numId w:val="6"/>
        </w:numPr>
        <w:spacing w:after="0" w:line="360" w:lineRule="auto"/>
        <w:textAlignment w:val="baseline"/>
        <w:rPr>
          <w:rFonts w:eastAsia="Times New Roman" w:cstheme="minorHAnsi"/>
          <w:color w:val="000000"/>
          <w:sz w:val="24"/>
          <w:szCs w:val="24"/>
        </w:rPr>
      </w:pPr>
      <w:r>
        <w:rPr>
          <w:rFonts w:eastAsia="Times New Roman" w:cstheme="minorHAnsi"/>
          <w:color w:val="000000"/>
          <w:sz w:val="24"/>
          <w:szCs w:val="24"/>
        </w:rPr>
        <w:t xml:space="preserve">Vaccine Development </w:t>
      </w:r>
    </w:p>
    <w:p w:rsidR="00D15824" w:rsidRDefault="00D15824" w:rsidP="00D15824">
      <w:pPr>
        <w:numPr>
          <w:ilvl w:val="0"/>
          <w:numId w:val="6"/>
        </w:numPr>
        <w:spacing w:after="0" w:line="360" w:lineRule="auto"/>
        <w:textAlignment w:val="baseline"/>
        <w:rPr>
          <w:rFonts w:eastAsia="Times New Roman" w:cstheme="minorHAnsi"/>
          <w:color w:val="000000"/>
          <w:sz w:val="24"/>
          <w:szCs w:val="24"/>
        </w:rPr>
      </w:pPr>
      <w:r>
        <w:rPr>
          <w:rFonts w:eastAsia="Times New Roman" w:cstheme="minorHAnsi"/>
          <w:color w:val="000000"/>
          <w:sz w:val="24"/>
          <w:szCs w:val="24"/>
        </w:rPr>
        <w:lastRenderedPageBreak/>
        <w:t>Biomarkers</w:t>
      </w:r>
    </w:p>
    <w:p w:rsidR="00D15824" w:rsidRDefault="00D15824" w:rsidP="00D15824">
      <w:pPr>
        <w:numPr>
          <w:ilvl w:val="0"/>
          <w:numId w:val="6"/>
        </w:numPr>
        <w:spacing w:after="0" w:line="360" w:lineRule="auto"/>
        <w:textAlignment w:val="baseline"/>
        <w:rPr>
          <w:rFonts w:eastAsia="Times New Roman" w:cstheme="minorHAnsi"/>
          <w:color w:val="000000"/>
          <w:sz w:val="24"/>
          <w:szCs w:val="24"/>
        </w:rPr>
      </w:pPr>
      <w:r>
        <w:rPr>
          <w:rFonts w:eastAsia="Times New Roman" w:cstheme="minorHAnsi"/>
          <w:color w:val="000000"/>
          <w:sz w:val="24"/>
          <w:szCs w:val="24"/>
        </w:rPr>
        <w:t>Tissue regeneration</w:t>
      </w:r>
    </w:p>
    <w:p w:rsidR="00D15824" w:rsidRPr="00C31DD6" w:rsidRDefault="00D15824" w:rsidP="00D15824">
      <w:pPr>
        <w:numPr>
          <w:ilvl w:val="0"/>
          <w:numId w:val="6"/>
        </w:numPr>
        <w:spacing w:after="0" w:line="360" w:lineRule="auto"/>
        <w:textAlignment w:val="baseline"/>
        <w:rPr>
          <w:rFonts w:eastAsia="Times New Roman" w:cstheme="minorHAnsi"/>
          <w:color w:val="000000"/>
          <w:sz w:val="24"/>
          <w:szCs w:val="24"/>
        </w:rPr>
      </w:pPr>
      <w:r>
        <w:rPr>
          <w:rFonts w:eastAsia="Times New Roman" w:cstheme="minorHAnsi"/>
          <w:color w:val="000000"/>
          <w:sz w:val="24"/>
          <w:szCs w:val="24"/>
        </w:rPr>
        <w:t>Others</w:t>
      </w:r>
    </w:p>
    <w:p w:rsidR="00D15824" w:rsidRPr="00AB7B1D" w:rsidRDefault="00D15824" w:rsidP="00D15824">
      <w:pPr>
        <w:spacing w:after="0" w:line="360" w:lineRule="auto"/>
        <w:textAlignment w:val="baseline"/>
        <w:rPr>
          <w:rFonts w:eastAsia="Times New Roman" w:cstheme="minorHAnsi"/>
          <w:b/>
          <w:color w:val="000000"/>
          <w:sz w:val="24"/>
          <w:szCs w:val="24"/>
        </w:rPr>
      </w:pPr>
      <w:r w:rsidRPr="00AB7B1D">
        <w:rPr>
          <w:rFonts w:eastAsia="Times New Roman" w:cstheme="minorHAnsi"/>
          <w:b/>
          <w:bCs/>
          <w:color w:val="000000"/>
          <w:sz w:val="24"/>
          <w:szCs w:val="24"/>
          <w:bdr w:val="none" w:sz="0" w:space="0" w:color="auto" w:frame="1"/>
        </w:rPr>
        <w:t>Exosomes Market, By Region (2023-2032)</w:t>
      </w:r>
    </w:p>
    <w:p w:rsidR="00D15824" w:rsidRPr="00C31DD6" w:rsidRDefault="00D15824" w:rsidP="00D15824">
      <w:pPr>
        <w:numPr>
          <w:ilvl w:val="0"/>
          <w:numId w:val="7"/>
        </w:numPr>
        <w:spacing w:after="0" w:line="360" w:lineRule="auto"/>
        <w:textAlignment w:val="baseline"/>
        <w:rPr>
          <w:rFonts w:eastAsia="Times New Roman" w:cstheme="minorHAnsi"/>
          <w:color w:val="000000"/>
          <w:sz w:val="24"/>
          <w:szCs w:val="24"/>
        </w:rPr>
      </w:pPr>
      <w:r w:rsidRPr="00C31DD6">
        <w:rPr>
          <w:rFonts w:eastAsia="Times New Roman" w:cstheme="minorHAnsi"/>
          <w:bCs/>
          <w:color w:val="000000"/>
          <w:sz w:val="24"/>
          <w:szCs w:val="24"/>
          <w:bdr w:val="none" w:sz="0" w:space="0" w:color="auto" w:frame="1"/>
        </w:rPr>
        <w:t>North America</w:t>
      </w:r>
    </w:p>
    <w:p w:rsidR="00D15824" w:rsidRPr="00C31DD6" w:rsidRDefault="00D15824" w:rsidP="00D15824">
      <w:pPr>
        <w:numPr>
          <w:ilvl w:val="1"/>
          <w:numId w:val="7"/>
        </w:numPr>
        <w:spacing w:after="0" w:line="360" w:lineRule="auto"/>
        <w:ind w:left="1080"/>
        <w:textAlignment w:val="baseline"/>
        <w:rPr>
          <w:rFonts w:eastAsia="Times New Roman" w:cstheme="minorHAnsi"/>
          <w:color w:val="000000"/>
          <w:sz w:val="24"/>
          <w:szCs w:val="24"/>
        </w:rPr>
      </w:pPr>
      <w:r w:rsidRPr="00C31DD6">
        <w:rPr>
          <w:rFonts w:eastAsia="Times New Roman" w:cstheme="minorHAnsi"/>
          <w:color w:val="000000"/>
          <w:sz w:val="24"/>
          <w:szCs w:val="24"/>
        </w:rPr>
        <w:t>U.S.</w:t>
      </w:r>
    </w:p>
    <w:p w:rsidR="00D15824" w:rsidRPr="00EC4062" w:rsidRDefault="00D15824" w:rsidP="00D15824">
      <w:pPr>
        <w:numPr>
          <w:ilvl w:val="1"/>
          <w:numId w:val="7"/>
        </w:numPr>
        <w:spacing w:after="0" w:line="360" w:lineRule="auto"/>
        <w:ind w:left="1080"/>
        <w:textAlignment w:val="baseline"/>
        <w:rPr>
          <w:rFonts w:eastAsia="Times New Roman" w:cstheme="minorHAnsi"/>
          <w:color w:val="000000"/>
          <w:sz w:val="24"/>
          <w:szCs w:val="24"/>
        </w:rPr>
      </w:pPr>
      <w:r w:rsidRPr="00C31DD6">
        <w:rPr>
          <w:rFonts w:eastAsia="Times New Roman" w:cstheme="minorHAnsi"/>
          <w:color w:val="000000"/>
          <w:sz w:val="24"/>
          <w:szCs w:val="24"/>
        </w:rPr>
        <w:t>Canada</w:t>
      </w:r>
    </w:p>
    <w:p w:rsidR="00D15824" w:rsidRPr="00C31DD6" w:rsidRDefault="00D15824" w:rsidP="00D15824">
      <w:pPr>
        <w:numPr>
          <w:ilvl w:val="0"/>
          <w:numId w:val="7"/>
        </w:numPr>
        <w:spacing w:after="0" w:line="360" w:lineRule="auto"/>
        <w:textAlignment w:val="baseline"/>
        <w:rPr>
          <w:rFonts w:eastAsia="Times New Roman" w:cstheme="minorHAnsi"/>
          <w:color w:val="000000"/>
          <w:sz w:val="24"/>
          <w:szCs w:val="24"/>
        </w:rPr>
      </w:pPr>
      <w:r w:rsidRPr="00C31DD6">
        <w:rPr>
          <w:rFonts w:eastAsia="Times New Roman" w:cstheme="minorHAnsi"/>
          <w:bCs/>
          <w:color w:val="000000"/>
          <w:sz w:val="24"/>
          <w:szCs w:val="24"/>
          <w:bdr w:val="none" w:sz="0" w:space="0" w:color="auto" w:frame="1"/>
        </w:rPr>
        <w:t>Europe</w:t>
      </w:r>
    </w:p>
    <w:p w:rsidR="00D15824" w:rsidRPr="00C31DD6" w:rsidRDefault="00D15824" w:rsidP="00D15824">
      <w:pPr>
        <w:numPr>
          <w:ilvl w:val="1"/>
          <w:numId w:val="7"/>
        </w:numPr>
        <w:spacing w:after="0" w:line="360" w:lineRule="auto"/>
        <w:ind w:left="1080"/>
        <w:textAlignment w:val="baseline"/>
        <w:rPr>
          <w:rFonts w:eastAsia="Times New Roman" w:cstheme="minorHAnsi"/>
          <w:color w:val="000000"/>
          <w:sz w:val="24"/>
          <w:szCs w:val="24"/>
        </w:rPr>
      </w:pPr>
      <w:r w:rsidRPr="00C31DD6">
        <w:rPr>
          <w:rFonts w:eastAsia="Times New Roman" w:cstheme="minorHAnsi"/>
          <w:color w:val="000000"/>
          <w:sz w:val="24"/>
          <w:szCs w:val="24"/>
        </w:rPr>
        <w:t>U.K.</w:t>
      </w:r>
    </w:p>
    <w:p w:rsidR="00D15824" w:rsidRPr="00C31DD6" w:rsidRDefault="00D15824" w:rsidP="00D15824">
      <w:pPr>
        <w:numPr>
          <w:ilvl w:val="1"/>
          <w:numId w:val="7"/>
        </w:numPr>
        <w:spacing w:after="0" w:line="360" w:lineRule="auto"/>
        <w:ind w:left="1080"/>
        <w:textAlignment w:val="baseline"/>
        <w:rPr>
          <w:rFonts w:eastAsia="Times New Roman" w:cstheme="minorHAnsi"/>
          <w:color w:val="000000"/>
          <w:sz w:val="24"/>
          <w:szCs w:val="24"/>
        </w:rPr>
      </w:pPr>
      <w:r w:rsidRPr="00C31DD6">
        <w:rPr>
          <w:rFonts w:eastAsia="Times New Roman" w:cstheme="minorHAnsi"/>
          <w:color w:val="000000"/>
          <w:sz w:val="24"/>
          <w:szCs w:val="24"/>
        </w:rPr>
        <w:t>Germany</w:t>
      </w:r>
    </w:p>
    <w:p w:rsidR="00D15824" w:rsidRDefault="00D15824" w:rsidP="00D15824">
      <w:pPr>
        <w:numPr>
          <w:ilvl w:val="1"/>
          <w:numId w:val="7"/>
        </w:numPr>
        <w:spacing w:after="0" w:line="360" w:lineRule="auto"/>
        <w:ind w:left="1080"/>
        <w:textAlignment w:val="baseline"/>
        <w:rPr>
          <w:rFonts w:eastAsia="Times New Roman" w:cstheme="minorHAnsi"/>
          <w:color w:val="000000"/>
          <w:sz w:val="24"/>
          <w:szCs w:val="24"/>
        </w:rPr>
      </w:pPr>
      <w:r w:rsidRPr="00C31DD6">
        <w:rPr>
          <w:rFonts w:eastAsia="Times New Roman" w:cstheme="minorHAnsi"/>
          <w:color w:val="000000"/>
          <w:sz w:val="24"/>
          <w:szCs w:val="24"/>
        </w:rPr>
        <w:t>France</w:t>
      </w:r>
    </w:p>
    <w:p w:rsidR="00D15824" w:rsidRPr="00C31DD6" w:rsidRDefault="00D15824" w:rsidP="00D15824">
      <w:pPr>
        <w:numPr>
          <w:ilvl w:val="0"/>
          <w:numId w:val="7"/>
        </w:numPr>
        <w:spacing w:after="0" w:line="360" w:lineRule="auto"/>
        <w:textAlignment w:val="baseline"/>
        <w:rPr>
          <w:rFonts w:eastAsia="Times New Roman" w:cstheme="minorHAnsi"/>
          <w:color w:val="000000"/>
          <w:sz w:val="24"/>
          <w:szCs w:val="24"/>
        </w:rPr>
      </w:pPr>
      <w:r w:rsidRPr="00C31DD6">
        <w:rPr>
          <w:rFonts w:eastAsia="Times New Roman" w:cstheme="minorHAnsi"/>
          <w:bCs/>
          <w:color w:val="000000"/>
          <w:sz w:val="24"/>
          <w:szCs w:val="24"/>
          <w:bdr w:val="none" w:sz="0" w:space="0" w:color="auto" w:frame="1"/>
        </w:rPr>
        <w:t>Asia Pacific</w:t>
      </w:r>
    </w:p>
    <w:p w:rsidR="00D15824" w:rsidRPr="00C31DD6" w:rsidRDefault="00D15824" w:rsidP="00D15824">
      <w:pPr>
        <w:numPr>
          <w:ilvl w:val="1"/>
          <w:numId w:val="7"/>
        </w:numPr>
        <w:spacing w:after="0" w:line="360" w:lineRule="auto"/>
        <w:ind w:left="1080"/>
        <w:textAlignment w:val="baseline"/>
        <w:rPr>
          <w:rFonts w:eastAsia="Times New Roman" w:cstheme="minorHAnsi"/>
          <w:color w:val="000000"/>
          <w:sz w:val="24"/>
          <w:szCs w:val="24"/>
        </w:rPr>
      </w:pPr>
      <w:r w:rsidRPr="00C31DD6">
        <w:rPr>
          <w:rFonts w:eastAsia="Times New Roman" w:cstheme="minorHAnsi"/>
          <w:color w:val="000000"/>
          <w:sz w:val="24"/>
          <w:szCs w:val="24"/>
        </w:rPr>
        <w:t>China</w:t>
      </w:r>
    </w:p>
    <w:p w:rsidR="00D15824" w:rsidRDefault="00D15824" w:rsidP="00D15824">
      <w:pPr>
        <w:numPr>
          <w:ilvl w:val="1"/>
          <w:numId w:val="7"/>
        </w:numPr>
        <w:spacing w:after="0" w:line="360" w:lineRule="auto"/>
        <w:ind w:left="1080"/>
        <w:textAlignment w:val="baseline"/>
        <w:rPr>
          <w:rFonts w:eastAsia="Times New Roman" w:cstheme="minorHAnsi"/>
          <w:color w:val="000000"/>
          <w:sz w:val="24"/>
          <w:szCs w:val="24"/>
        </w:rPr>
      </w:pPr>
      <w:r w:rsidRPr="00C31DD6">
        <w:rPr>
          <w:rFonts w:eastAsia="Times New Roman" w:cstheme="minorHAnsi"/>
          <w:color w:val="000000"/>
          <w:sz w:val="24"/>
          <w:szCs w:val="24"/>
        </w:rPr>
        <w:t>Japan</w:t>
      </w:r>
    </w:p>
    <w:p w:rsidR="00D15824" w:rsidRPr="00D16A01" w:rsidRDefault="00D15824" w:rsidP="00D15824">
      <w:pPr>
        <w:numPr>
          <w:ilvl w:val="1"/>
          <w:numId w:val="7"/>
        </w:numPr>
        <w:spacing w:after="0" w:line="360" w:lineRule="auto"/>
        <w:ind w:left="1080"/>
        <w:textAlignment w:val="baseline"/>
        <w:rPr>
          <w:rFonts w:eastAsia="Times New Roman" w:cstheme="minorHAnsi"/>
          <w:color w:val="000000"/>
          <w:sz w:val="24"/>
          <w:szCs w:val="24"/>
        </w:rPr>
      </w:pPr>
      <w:r w:rsidRPr="00C31DD6">
        <w:rPr>
          <w:rFonts w:eastAsia="Times New Roman" w:cstheme="minorHAnsi"/>
          <w:color w:val="000000"/>
          <w:sz w:val="24"/>
          <w:szCs w:val="24"/>
        </w:rPr>
        <w:t>India</w:t>
      </w:r>
    </w:p>
    <w:p w:rsidR="00D15824" w:rsidRPr="00D16A01" w:rsidRDefault="00D15824" w:rsidP="00D15824">
      <w:pPr>
        <w:numPr>
          <w:ilvl w:val="1"/>
          <w:numId w:val="7"/>
        </w:numPr>
        <w:spacing w:after="0" w:line="360" w:lineRule="auto"/>
        <w:ind w:left="1080"/>
        <w:textAlignment w:val="baseline"/>
        <w:rPr>
          <w:rFonts w:eastAsia="Times New Roman" w:cstheme="minorHAnsi"/>
          <w:color w:val="000000"/>
          <w:sz w:val="24"/>
          <w:szCs w:val="24"/>
        </w:rPr>
      </w:pPr>
      <w:r w:rsidRPr="00C31DD6">
        <w:rPr>
          <w:rFonts w:eastAsia="Times New Roman" w:cstheme="minorHAnsi"/>
          <w:color w:val="000000"/>
          <w:sz w:val="24"/>
          <w:szCs w:val="24"/>
        </w:rPr>
        <w:t>South Korea</w:t>
      </w:r>
    </w:p>
    <w:p w:rsidR="00D15824" w:rsidRPr="00C31DD6" w:rsidRDefault="00D15824" w:rsidP="00D15824">
      <w:pPr>
        <w:numPr>
          <w:ilvl w:val="0"/>
          <w:numId w:val="7"/>
        </w:numPr>
        <w:spacing w:after="0" w:line="360" w:lineRule="auto"/>
        <w:textAlignment w:val="baseline"/>
        <w:rPr>
          <w:rFonts w:eastAsia="Times New Roman" w:cstheme="minorHAnsi"/>
          <w:color w:val="000000"/>
          <w:sz w:val="24"/>
          <w:szCs w:val="24"/>
        </w:rPr>
      </w:pPr>
      <w:r w:rsidRPr="00C31DD6">
        <w:rPr>
          <w:rFonts w:eastAsia="Times New Roman" w:cstheme="minorHAnsi"/>
          <w:bCs/>
          <w:color w:val="000000"/>
          <w:sz w:val="24"/>
          <w:szCs w:val="24"/>
          <w:bdr w:val="none" w:sz="0" w:space="0" w:color="auto" w:frame="1"/>
        </w:rPr>
        <w:t>Latin America</w:t>
      </w:r>
    </w:p>
    <w:p w:rsidR="00D15824" w:rsidRPr="00C31DD6" w:rsidRDefault="00D15824" w:rsidP="00D15824">
      <w:pPr>
        <w:numPr>
          <w:ilvl w:val="1"/>
          <w:numId w:val="7"/>
        </w:numPr>
        <w:spacing w:after="0" w:line="360" w:lineRule="auto"/>
        <w:ind w:left="1080"/>
        <w:textAlignment w:val="baseline"/>
        <w:rPr>
          <w:rFonts w:eastAsia="Times New Roman" w:cstheme="minorHAnsi"/>
          <w:color w:val="000000"/>
          <w:sz w:val="24"/>
          <w:szCs w:val="24"/>
        </w:rPr>
      </w:pPr>
      <w:r w:rsidRPr="00C31DD6">
        <w:rPr>
          <w:rFonts w:eastAsia="Times New Roman" w:cstheme="minorHAnsi"/>
          <w:color w:val="000000"/>
          <w:sz w:val="24"/>
          <w:szCs w:val="24"/>
        </w:rPr>
        <w:t>Brazil</w:t>
      </w:r>
    </w:p>
    <w:p w:rsidR="00D15824" w:rsidRPr="00EC4062" w:rsidRDefault="00D15824" w:rsidP="00D15824">
      <w:pPr>
        <w:numPr>
          <w:ilvl w:val="1"/>
          <w:numId w:val="7"/>
        </w:numPr>
        <w:spacing w:after="0" w:line="360" w:lineRule="auto"/>
        <w:ind w:left="1080"/>
        <w:textAlignment w:val="baseline"/>
        <w:rPr>
          <w:rFonts w:eastAsia="Times New Roman" w:cstheme="minorHAnsi"/>
          <w:color w:val="000000"/>
          <w:sz w:val="24"/>
          <w:szCs w:val="24"/>
        </w:rPr>
      </w:pPr>
      <w:r w:rsidRPr="00C31DD6">
        <w:rPr>
          <w:rFonts w:eastAsia="Times New Roman" w:cstheme="minorHAnsi"/>
          <w:color w:val="000000"/>
          <w:sz w:val="24"/>
          <w:szCs w:val="24"/>
        </w:rPr>
        <w:t>Mexico</w:t>
      </w:r>
    </w:p>
    <w:p w:rsidR="00D15824" w:rsidRDefault="00D15824" w:rsidP="00D15824">
      <w:pPr>
        <w:numPr>
          <w:ilvl w:val="0"/>
          <w:numId w:val="7"/>
        </w:numPr>
        <w:spacing w:after="0" w:line="360" w:lineRule="auto"/>
        <w:textAlignment w:val="baseline"/>
        <w:rPr>
          <w:rFonts w:eastAsia="Times New Roman" w:cstheme="minorHAnsi"/>
          <w:color w:val="000000"/>
          <w:sz w:val="24"/>
          <w:szCs w:val="24"/>
        </w:rPr>
      </w:pPr>
      <w:r>
        <w:rPr>
          <w:rFonts w:eastAsia="Times New Roman" w:cstheme="minorHAnsi"/>
          <w:color w:val="000000"/>
          <w:sz w:val="24"/>
          <w:szCs w:val="24"/>
        </w:rPr>
        <w:t>Middle East and Africa</w:t>
      </w:r>
    </w:p>
    <w:p w:rsidR="00D15824" w:rsidRPr="00C31DD6" w:rsidRDefault="00D15824" w:rsidP="00D15824">
      <w:pPr>
        <w:numPr>
          <w:ilvl w:val="1"/>
          <w:numId w:val="7"/>
        </w:numPr>
        <w:spacing w:after="0" w:line="360" w:lineRule="auto"/>
        <w:ind w:left="1080"/>
        <w:textAlignment w:val="baseline"/>
        <w:rPr>
          <w:rFonts w:eastAsia="Times New Roman" w:cstheme="minorHAnsi"/>
          <w:color w:val="000000"/>
          <w:sz w:val="24"/>
          <w:szCs w:val="24"/>
        </w:rPr>
      </w:pPr>
      <w:r>
        <w:rPr>
          <w:rFonts w:eastAsia="Times New Roman" w:cstheme="minorHAnsi"/>
          <w:color w:val="000000"/>
          <w:sz w:val="24"/>
          <w:szCs w:val="24"/>
        </w:rPr>
        <w:t>UAE</w:t>
      </w:r>
    </w:p>
    <w:p w:rsidR="00D15824" w:rsidRPr="00C31DD6" w:rsidRDefault="00D15824" w:rsidP="00D15824">
      <w:pPr>
        <w:numPr>
          <w:ilvl w:val="1"/>
          <w:numId w:val="7"/>
        </w:numPr>
        <w:spacing w:after="0" w:line="360" w:lineRule="auto"/>
        <w:ind w:left="1080"/>
        <w:textAlignment w:val="baseline"/>
        <w:rPr>
          <w:rFonts w:eastAsia="Times New Roman" w:cstheme="minorHAnsi"/>
          <w:color w:val="000000"/>
          <w:sz w:val="24"/>
          <w:szCs w:val="24"/>
        </w:rPr>
      </w:pPr>
      <w:r>
        <w:rPr>
          <w:rFonts w:eastAsia="Times New Roman" w:cstheme="minorHAnsi"/>
          <w:color w:val="000000"/>
          <w:sz w:val="24"/>
          <w:szCs w:val="24"/>
        </w:rPr>
        <w:t>Saudi Arabia</w:t>
      </w:r>
    </w:p>
    <w:p w:rsidR="00D15824" w:rsidRPr="00EC4062" w:rsidRDefault="00D15824" w:rsidP="00D15824">
      <w:pPr>
        <w:numPr>
          <w:ilvl w:val="1"/>
          <w:numId w:val="7"/>
        </w:numPr>
        <w:spacing w:after="0" w:line="360" w:lineRule="auto"/>
        <w:ind w:left="1080"/>
        <w:textAlignment w:val="baseline"/>
        <w:rPr>
          <w:rFonts w:eastAsia="Times New Roman" w:cstheme="minorHAnsi"/>
          <w:color w:val="000000"/>
          <w:sz w:val="24"/>
          <w:szCs w:val="24"/>
        </w:rPr>
      </w:pPr>
      <w:r>
        <w:rPr>
          <w:rFonts w:eastAsia="Times New Roman" w:cstheme="minorHAnsi"/>
          <w:color w:val="000000"/>
          <w:sz w:val="24"/>
          <w:szCs w:val="24"/>
        </w:rPr>
        <w:t>South Africa</w:t>
      </w:r>
    </w:p>
    <w:p w:rsidR="001D24C6" w:rsidRDefault="001D24C6" w:rsidP="001D24C6">
      <w:pPr>
        <w:spacing w:line="240" w:lineRule="auto"/>
        <w:jc w:val="both"/>
        <w:rPr>
          <w:rFonts w:ascii="Calibri" w:eastAsia="Times New Roman" w:hAnsi="Calibri" w:cs="Calibri"/>
          <w:b/>
          <w:bCs/>
          <w:color w:val="000000"/>
        </w:rPr>
      </w:pPr>
      <w:bookmarkStart w:id="0" w:name="_GoBack"/>
      <w:bookmarkEnd w:id="0"/>
    </w:p>
    <w:p w:rsidR="00425B21" w:rsidRDefault="00425B21" w:rsidP="00425B21">
      <w:pPr>
        <w:jc w:val="both"/>
        <w:rPr>
          <w:b/>
          <w:sz w:val="24"/>
        </w:rPr>
      </w:pPr>
      <w:r>
        <w:rPr>
          <w:b/>
          <w:sz w:val="24"/>
        </w:rPr>
        <w:t xml:space="preserve">About </w:t>
      </w:r>
      <w:proofErr w:type="spellStart"/>
      <w:r>
        <w:rPr>
          <w:b/>
          <w:sz w:val="24"/>
        </w:rPr>
        <w:t>DataHorizzon</w:t>
      </w:r>
      <w:proofErr w:type="spellEnd"/>
      <w:r>
        <w:rPr>
          <w:b/>
          <w:sz w:val="24"/>
        </w:rPr>
        <w:t xml:space="preserve"> Research:</w:t>
      </w:r>
    </w:p>
    <w:p w:rsidR="00425B21" w:rsidRDefault="00425B21" w:rsidP="00425B21">
      <w:pPr>
        <w:ind w:left="360"/>
        <w:jc w:val="both"/>
        <w:rPr>
          <w:b/>
          <w:sz w:val="24"/>
        </w:rPr>
      </w:pPr>
      <w:proofErr w:type="spellStart"/>
      <w:r>
        <w:rPr>
          <w:sz w:val="24"/>
        </w:rPr>
        <w:t>DataHorizzon</w:t>
      </w:r>
      <w:proofErr w:type="spellEnd"/>
      <w:r>
        <w:rPr>
          <w:sz w:val="24"/>
        </w:rPr>
        <w:t xml:space="preserve"> is a market research and advisory company that assists organizations across the globe in formulating growth strategies for changing business dynamics. Its offerings include consulting services across enterprises and business insights to make actionable decisions. DHR’s comprehensive research methodology for predicting long-term and sustainable trends in the market facilitates complex decisions for organizations.</w:t>
      </w:r>
    </w:p>
    <w:p w:rsidR="00425B21" w:rsidRDefault="00425B21" w:rsidP="00425B21">
      <w:pPr>
        <w:ind w:left="360"/>
        <w:jc w:val="both"/>
        <w:rPr>
          <w:b/>
          <w:sz w:val="24"/>
        </w:rPr>
      </w:pPr>
      <w:r>
        <w:rPr>
          <w:b/>
          <w:sz w:val="24"/>
        </w:rPr>
        <w:lastRenderedPageBreak/>
        <w:t>Contact:</w:t>
      </w:r>
    </w:p>
    <w:p w:rsidR="00425B21" w:rsidRDefault="00425B21" w:rsidP="00425B21">
      <w:pPr>
        <w:ind w:left="360"/>
        <w:jc w:val="both"/>
        <w:rPr>
          <w:sz w:val="24"/>
        </w:rPr>
      </w:pPr>
      <w:r>
        <w:rPr>
          <w:b/>
          <w:sz w:val="24"/>
        </w:rPr>
        <w:t xml:space="preserve">Mail: </w:t>
      </w:r>
      <w:hyperlink r:id="rId6" w:history="1">
        <w:r>
          <w:rPr>
            <w:rStyle w:val="Hyperlink"/>
          </w:rPr>
          <w:t>sales@datahorizzonresearch.com</w:t>
        </w:r>
      </w:hyperlink>
    </w:p>
    <w:p w:rsidR="00425B21" w:rsidRDefault="00425B21" w:rsidP="00425B21">
      <w:pPr>
        <w:ind w:left="360"/>
        <w:jc w:val="both"/>
        <w:rPr>
          <w:b/>
          <w:sz w:val="24"/>
        </w:rPr>
      </w:pPr>
      <w:proofErr w:type="spellStart"/>
      <w:r>
        <w:rPr>
          <w:b/>
          <w:sz w:val="24"/>
        </w:rPr>
        <w:t>Ph</w:t>
      </w:r>
      <w:proofErr w:type="spellEnd"/>
      <w:r>
        <w:rPr>
          <w:b/>
          <w:sz w:val="24"/>
        </w:rPr>
        <w:t>: +1-970-672-0390</w:t>
      </w:r>
    </w:p>
    <w:p w:rsidR="00425B21" w:rsidRDefault="00425B21" w:rsidP="00425B21">
      <w:pPr>
        <w:ind w:left="360"/>
        <w:jc w:val="both"/>
        <w:rPr>
          <w:rStyle w:val="Hyperlink"/>
        </w:rPr>
      </w:pPr>
      <w:r>
        <w:rPr>
          <w:b/>
          <w:sz w:val="24"/>
        </w:rPr>
        <w:t xml:space="preserve">Website: </w:t>
      </w:r>
      <w:hyperlink r:id="rId7" w:history="1">
        <w:r>
          <w:rPr>
            <w:rStyle w:val="Hyperlink"/>
          </w:rPr>
          <w:t>https://datahorizzonresearch.com/</w:t>
        </w:r>
      </w:hyperlink>
    </w:p>
    <w:p w:rsidR="00425B21" w:rsidRDefault="00425B21" w:rsidP="00425B21">
      <w:pPr>
        <w:ind w:left="360"/>
        <w:jc w:val="both"/>
        <w:rPr>
          <w:rStyle w:val="Hyperlink"/>
          <w:rFonts w:ascii="Helvetica" w:hAnsi="Helvetica" w:cs="Helvetica"/>
          <w:color w:val="0F69FF"/>
          <w:sz w:val="27"/>
          <w:szCs w:val="27"/>
          <w:shd w:val="clear" w:color="auto" w:fill="FFFFFF"/>
        </w:rPr>
      </w:pPr>
      <w:r>
        <w:rPr>
          <w:b/>
          <w:sz w:val="24"/>
        </w:rPr>
        <w:t>Follow Us:</w:t>
      </w:r>
      <w:r>
        <w:rPr>
          <w:sz w:val="24"/>
        </w:rPr>
        <w:t xml:space="preserve"> </w:t>
      </w:r>
      <w:hyperlink r:id="rId8" w:tgtFrame="_blank" w:history="1">
        <w:r>
          <w:rPr>
            <w:rStyle w:val="Hyperlink"/>
            <w:rFonts w:ascii="Helvetica" w:hAnsi="Helvetica" w:cs="Helvetica"/>
            <w:color w:val="0F69FF"/>
            <w:sz w:val="27"/>
            <w:szCs w:val="27"/>
            <w:shd w:val="clear" w:color="auto" w:fill="FFFFFF"/>
          </w:rPr>
          <w:t>LinkedIn</w:t>
        </w:r>
      </w:hyperlink>
    </w:p>
    <w:p w:rsidR="00425B21" w:rsidRDefault="00425B21" w:rsidP="00425B21">
      <w:pPr>
        <w:ind w:left="360"/>
        <w:jc w:val="both"/>
        <w:rPr>
          <w:b/>
          <w:sz w:val="24"/>
        </w:rPr>
      </w:pPr>
    </w:p>
    <w:p w:rsidR="00425B21" w:rsidRDefault="00425B21" w:rsidP="00425B21">
      <w:pPr>
        <w:jc w:val="both"/>
        <w:rPr>
          <w:b/>
          <w:sz w:val="24"/>
          <w:u w:val="single"/>
        </w:rPr>
      </w:pPr>
      <w:r>
        <w:rPr>
          <w:b/>
          <w:u w:val="single"/>
        </w:rPr>
        <w:t>Recent Publications</w:t>
      </w:r>
    </w:p>
    <w:p w:rsidR="00360C71" w:rsidRDefault="00D15824"/>
    <w:sectPr w:rsidR="00360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A7DEF"/>
    <w:multiLevelType w:val="hybridMultilevel"/>
    <w:tmpl w:val="0386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727E7"/>
    <w:multiLevelType w:val="hybridMultilevel"/>
    <w:tmpl w:val="FBAE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A312D3"/>
    <w:multiLevelType w:val="multilevel"/>
    <w:tmpl w:val="C54A26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BF3DDB"/>
    <w:multiLevelType w:val="multilevel"/>
    <w:tmpl w:val="5F26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506386"/>
    <w:multiLevelType w:val="hybridMultilevel"/>
    <w:tmpl w:val="CEA8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291399"/>
    <w:multiLevelType w:val="multilevel"/>
    <w:tmpl w:val="0FA2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7F6520"/>
    <w:multiLevelType w:val="multilevel"/>
    <w:tmpl w:val="A728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3"/>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4C6"/>
    <w:rsid w:val="000D09FD"/>
    <w:rsid w:val="00166950"/>
    <w:rsid w:val="001C031B"/>
    <w:rsid w:val="001D24C6"/>
    <w:rsid w:val="002B0857"/>
    <w:rsid w:val="002E2BE5"/>
    <w:rsid w:val="003569D9"/>
    <w:rsid w:val="00373FDE"/>
    <w:rsid w:val="0039003E"/>
    <w:rsid w:val="00393C22"/>
    <w:rsid w:val="003E2DC3"/>
    <w:rsid w:val="00425B21"/>
    <w:rsid w:val="00495CEE"/>
    <w:rsid w:val="004A6E19"/>
    <w:rsid w:val="004E1C08"/>
    <w:rsid w:val="004E6381"/>
    <w:rsid w:val="006C4B9F"/>
    <w:rsid w:val="006F351E"/>
    <w:rsid w:val="00757940"/>
    <w:rsid w:val="0078129B"/>
    <w:rsid w:val="007F3D6B"/>
    <w:rsid w:val="00835338"/>
    <w:rsid w:val="008535A1"/>
    <w:rsid w:val="008637A0"/>
    <w:rsid w:val="00942BAB"/>
    <w:rsid w:val="0098131E"/>
    <w:rsid w:val="009B20F6"/>
    <w:rsid w:val="009B50C8"/>
    <w:rsid w:val="009C7C13"/>
    <w:rsid w:val="00A152C9"/>
    <w:rsid w:val="00AE5512"/>
    <w:rsid w:val="00BE16E5"/>
    <w:rsid w:val="00C273FA"/>
    <w:rsid w:val="00C940CE"/>
    <w:rsid w:val="00D15824"/>
    <w:rsid w:val="00DC3737"/>
    <w:rsid w:val="00E240D0"/>
    <w:rsid w:val="00E75712"/>
    <w:rsid w:val="00EB1CA1"/>
    <w:rsid w:val="00F42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E0DE8-A974-4E96-9CDB-7F3869F2F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4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4C6"/>
    <w:pPr>
      <w:ind w:left="720"/>
      <w:contextualSpacing/>
    </w:pPr>
  </w:style>
  <w:style w:type="paragraph" w:styleId="BalloonText">
    <w:name w:val="Balloon Text"/>
    <w:basedOn w:val="Normal"/>
    <w:link w:val="BalloonTextChar"/>
    <w:uiPriority w:val="99"/>
    <w:semiHidden/>
    <w:unhideWhenUsed/>
    <w:rsid w:val="006F35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351E"/>
    <w:rPr>
      <w:rFonts w:ascii="Segoe UI" w:hAnsi="Segoe UI" w:cs="Segoe UI"/>
      <w:sz w:val="18"/>
      <w:szCs w:val="18"/>
    </w:rPr>
  </w:style>
  <w:style w:type="character" w:styleId="Hyperlink">
    <w:name w:val="Hyperlink"/>
    <w:basedOn w:val="DefaultParagraphFont"/>
    <w:uiPriority w:val="99"/>
    <w:semiHidden/>
    <w:unhideWhenUsed/>
    <w:rsid w:val="00425B21"/>
    <w:rPr>
      <w:color w:val="0563C1" w:themeColor="hyperlink"/>
      <w:u w:val="single"/>
    </w:rPr>
  </w:style>
  <w:style w:type="table" w:styleId="TableGrid">
    <w:name w:val="Table Grid"/>
    <w:basedOn w:val="TableNormal"/>
    <w:uiPriority w:val="39"/>
    <w:rsid w:val="0078129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newswire.com/Tracker?data=6QPzSz4pu7L2or7_ICRAenR6rJdzbU3JPggBxX5dQ7JessEQk79R172h2g_hnSLp962gP79iMKuIvr-2wBKAnSK7wl6N27T2KXWgNrBFsh0=" TargetMode="External"/><Relationship Id="rId3" Type="http://schemas.openxmlformats.org/officeDocument/2006/relationships/settings" Target="settings.xml"/><Relationship Id="rId7" Type="http://schemas.openxmlformats.org/officeDocument/2006/relationships/hyperlink" Target="https://datahorizzonresear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les@datahorizzonresearch.com" TargetMode="External"/><Relationship Id="rId5" Type="http://schemas.openxmlformats.org/officeDocument/2006/relationships/hyperlink" Target="https://datahorizzonresearch.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2023-09-21T07:22:00Z</dcterms:created>
  <dcterms:modified xsi:type="dcterms:W3CDTF">2023-09-21T08:56:00Z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0ae4347c-33c9-4bd4-b4df-54ec3d978675</vt:lpwstr>
  </property>
</Properties>
</file>