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-Komt bordje met controls tegen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“ah, das wel chill”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-Maakt eerste checkpoint kapot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dood, new game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 jeez, ik voel me echt een sukkel”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-Heeft energy machnic door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-Komt potempkin tegen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“oooh boy, alsof die andere niet goed genoeg was”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-Krijgt door dat hij kan hoveren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“ohh wat?!”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-Ontwijkt ninja messen omdat hij lager stond en bukte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“Ohh ik kan ok bukken? Get juked!”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-Is enthousiast tijdens het vechten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-Weet niet meer waar hij naar toe moet, denkt dat hij iets gemist heeft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“ik voel me echt dom”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-Valt van een eiland af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“Ohh, ik moest wel naar beneden”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dood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“Ohh, die dingen zijn checkpoints”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-Ziet de brug en de muziek veranderde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“Deze brug, hier komt de eindbaas”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“dit is een best lange brug”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“Tering, die heeft veel HP”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-Speelt als Tanis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“Oh, ik moet terug”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“Deze heeft geen gekke skills”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-Ziet zwart op de grond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“wat is dat zwarte? daar hou ik niet van”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dood door een ninja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“Wacht maar!”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-Komt weer bij de ninja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“das chill, hij blijft zelfde HP”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-ninja pakt canon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“oh  dat wist ik niet”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“Das chill dat je kan springen en aanvallen”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-Gaat mee zingen met muziek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-Ander nummer komt op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“das geen goed geluidje … Ahh, hier is die bitch”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