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60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2361"/>
        <w:gridCol w:w="4589"/>
      </w:tblGrid>
      <w:tr w:rsidR="0042584C" w:rsidRPr="00C41D71" w14:paraId="41B2BC9B" w14:textId="77777777" w:rsidTr="00022F8B">
        <w:trPr>
          <w:tblHeader/>
          <w:tblCellSpacing w:w="15" w:type="dxa"/>
        </w:trPr>
        <w:tc>
          <w:tcPr>
            <w:tcW w:w="2365" w:type="dxa"/>
            <w:vAlign w:val="center"/>
            <w:hideMark/>
          </w:tcPr>
          <w:p w14:paraId="423FABF5" w14:textId="77777777" w:rsidR="00C41D71" w:rsidRPr="00C41D71" w:rsidRDefault="00C41D71" w:rsidP="00C41D71">
            <w:pPr>
              <w:jc w:val="center"/>
              <w:rPr>
                <w:b/>
                <w:bCs/>
              </w:rPr>
            </w:pPr>
            <w:proofErr w:type="spellStart"/>
            <w:r w:rsidRPr="00C41D71">
              <w:rPr>
                <w:b/>
                <w:bCs/>
              </w:rPr>
              <w:t>Chỉ</w:t>
            </w:r>
            <w:proofErr w:type="spellEnd"/>
            <w:r w:rsidRPr="00C41D71">
              <w:rPr>
                <w:b/>
                <w:bCs/>
              </w:rPr>
              <w:t xml:space="preserve"> </w:t>
            </w:r>
            <w:proofErr w:type="spellStart"/>
            <w:r w:rsidRPr="00C41D71">
              <w:rPr>
                <w:b/>
                <w:bCs/>
              </w:rPr>
              <w:t>số</w:t>
            </w:r>
            <w:proofErr w:type="spellEnd"/>
          </w:p>
        </w:tc>
        <w:tc>
          <w:tcPr>
            <w:tcW w:w="2331" w:type="dxa"/>
            <w:vAlign w:val="center"/>
            <w:hideMark/>
          </w:tcPr>
          <w:p w14:paraId="1FB4A4AE" w14:textId="77777777" w:rsidR="00C41D71" w:rsidRPr="00C41D71" w:rsidRDefault="00C41D71" w:rsidP="00C41D71">
            <w:pPr>
              <w:jc w:val="center"/>
              <w:rPr>
                <w:b/>
                <w:bCs/>
              </w:rPr>
            </w:pPr>
            <w:proofErr w:type="spellStart"/>
            <w:r w:rsidRPr="00C41D71">
              <w:rPr>
                <w:b/>
                <w:bCs/>
              </w:rPr>
              <w:t>Điều</w:t>
            </w:r>
            <w:proofErr w:type="spellEnd"/>
            <w:r w:rsidRPr="00C41D71">
              <w:rPr>
                <w:b/>
                <w:bCs/>
              </w:rPr>
              <w:t xml:space="preserve"> </w:t>
            </w:r>
            <w:proofErr w:type="spellStart"/>
            <w:r w:rsidRPr="00C41D71">
              <w:rPr>
                <w:b/>
                <w:bCs/>
              </w:rPr>
              <w:t>kiện</w:t>
            </w:r>
            <w:proofErr w:type="spellEnd"/>
            <w:r w:rsidRPr="00C41D71">
              <w:rPr>
                <w:b/>
                <w:bCs/>
              </w:rPr>
              <w:t xml:space="preserve"> </w:t>
            </w:r>
            <w:proofErr w:type="spellStart"/>
            <w:r w:rsidRPr="00C41D71">
              <w:rPr>
                <w:b/>
                <w:bCs/>
              </w:rPr>
              <w:t>cảnh</w:t>
            </w:r>
            <w:proofErr w:type="spellEnd"/>
            <w:r w:rsidRPr="00C41D71">
              <w:rPr>
                <w:b/>
                <w:bCs/>
              </w:rPr>
              <w:t xml:space="preserve"> </w:t>
            </w:r>
            <w:proofErr w:type="spellStart"/>
            <w:r w:rsidRPr="00C41D71">
              <w:rPr>
                <w:b/>
                <w:bCs/>
              </w:rPr>
              <w:t>báo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B173C2" w14:textId="602024D1" w:rsidR="00C41D71" w:rsidRPr="00C41D71" w:rsidRDefault="00C41D71" w:rsidP="00C41D71">
            <w:pPr>
              <w:jc w:val="center"/>
              <w:rPr>
                <w:b/>
                <w:bCs/>
              </w:rPr>
            </w:pPr>
            <w:proofErr w:type="spellStart"/>
            <w:r w:rsidRPr="00C41D71">
              <w:rPr>
                <w:b/>
                <w:bCs/>
              </w:rPr>
              <w:t>Diễn</w:t>
            </w:r>
            <w:proofErr w:type="spellEnd"/>
            <w:r w:rsidRPr="00C41D71">
              <w:rPr>
                <w:b/>
                <w:bCs/>
              </w:rPr>
              <w:t xml:space="preserve"> </w:t>
            </w:r>
            <w:proofErr w:type="spellStart"/>
            <w:r w:rsidRPr="00C41D71">
              <w:rPr>
                <w:b/>
                <w:bCs/>
              </w:rPr>
              <w:t>giải</w:t>
            </w:r>
            <w:proofErr w:type="spellEnd"/>
          </w:p>
        </w:tc>
      </w:tr>
      <w:tr w:rsidR="0042584C" w:rsidRPr="00C41D71" w14:paraId="3A573C55" w14:textId="77777777" w:rsidTr="00022F8B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22106EEA" w14:textId="076A4B99" w:rsidR="00C41D71" w:rsidRPr="00C41D71" w:rsidRDefault="00C41D71" w:rsidP="00C41D71">
            <w:r>
              <w:t>[</w:t>
            </w:r>
            <w:r w:rsidRPr="00C41D71">
              <w:t xml:space="preserve">Lưu </w:t>
            </w:r>
            <w:proofErr w:type="spellStart"/>
            <w:r w:rsidRPr="00C41D71">
              <w:t>chuyển</w:t>
            </w:r>
            <w:proofErr w:type="spellEnd"/>
            <w:r w:rsidRPr="00C41D71">
              <w:t xml:space="preserve"> </w:t>
            </w:r>
            <w:proofErr w:type="spellStart"/>
            <w:r w:rsidRPr="00C41D71">
              <w:t>tiền</w:t>
            </w:r>
            <w:proofErr w:type="spellEnd"/>
            <w:r w:rsidRPr="00C41D71">
              <w:t xml:space="preserve"> </w:t>
            </w:r>
            <w:proofErr w:type="spellStart"/>
            <w:r w:rsidRPr="00C41D71">
              <w:t>tệ</w:t>
            </w:r>
            <w:proofErr w:type="spellEnd"/>
            <w:r w:rsidRPr="00C41D71">
              <w:t xml:space="preserve"> </w:t>
            </w:r>
            <w:proofErr w:type="spellStart"/>
            <w:r w:rsidRPr="00C41D71">
              <w:t>ròng</w:t>
            </w:r>
            <w:proofErr w:type="spellEnd"/>
            <w:r w:rsidRPr="00C41D71">
              <w:t xml:space="preserve"> </w:t>
            </w:r>
            <w:proofErr w:type="spellStart"/>
            <w:r w:rsidRPr="00C41D71">
              <w:t>từ</w:t>
            </w:r>
            <w:proofErr w:type="spellEnd"/>
            <w:r w:rsidRPr="00C41D71">
              <w:t xml:space="preserve"> </w:t>
            </w:r>
            <w:proofErr w:type="spellStart"/>
            <w:r w:rsidRPr="00C41D71">
              <w:t>các</w:t>
            </w:r>
            <w:proofErr w:type="spellEnd"/>
            <w:r w:rsidRPr="00C41D71">
              <w:t xml:space="preserve"> </w:t>
            </w:r>
            <w:proofErr w:type="spellStart"/>
            <w:r w:rsidRPr="00C41D71">
              <w:t>hoạt</w:t>
            </w:r>
            <w:proofErr w:type="spellEnd"/>
            <w:r w:rsidRPr="00C41D71">
              <w:t xml:space="preserve"> </w:t>
            </w:r>
            <w:proofErr w:type="spellStart"/>
            <w:r w:rsidRPr="00C41D71">
              <w:t>động</w:t>
            </w:r>
            <w:proofErr w:type="spellEnd"/>
            <w:r w:rsidRPr="00C41D71">
              <w:t xml:space="preserve"> </w:t>
            </w:r>
            <w:proofErr w:type="spellStart"/>
            <w:r w:rsidRPr="00C41D71">
              <w:t>sản</w:t>
            </w:r>
            <w:proofErr w:type="spellEnd"/>
            <w:r w:rsidRPr="00C41D71">
              <w:t xml:space="preserve"> </w:t>
            </w:r>
            <w:proofErr w:type="spellStart"/>
            <w:r w:rsidRPr="00C41D71">
              <w:t>xuất</w:t>
            </w:r>
            <w:proofErr w:type="spellEnd"/>
            <w:r w:rsidRPr="00C41D71">
              <w:t xml:space="preserve"> </w:t>
            </w:r>
            <w:proofErr w:type="spellStart"/>
            <w:r w:rsidRPr="00C41D71">
              <w:t>kinh</w:t>
            </w:r>
            <w:proofErr w:type="spellEnd"/>
            <w:r w:rsidRPr="00C41D71">
              <w:t xml:space="preserve"> </w:t>
            </w:r>
            <w:proofErr w:type="spellStart"/>
            <w:r w:rsidRPr="00C41D71">
              <w:t>doanh</w:t>
            </w:r>
            <w:proofErr w:type="spellEnd"/>
            <w:r>
              <w:t>]</w:t>
            </w:r>
            <w:r w:rsidRPr="00C41D71">
              <w:t xml:space="preserve"> / </w:t>
            </w:r>
            <w:r>
              <w:t>[</w:t>
            </w:r>
            <w:proofErr w:type="spellStart"/>
            <w:r w:rsidRPr="00C41D71">
              <w:t>Lãi</w:t>
            </w:r>
            <w:proofErr w:type="spellEnd"/>
            <w:r w:rsidRPr="00C41D71">
              <w:t>/(</w:t>
            </w:r>
            <w:proofErr w:type="spellStart"/>
            <w:r w:rsidRPr="00C41D71">
              <w:t>lỗ</w:t>
            </w:r>
            <w:proofErr w:type="spellEnd"/>
            <w:r w:rsidRPr="00C41D71">
              <w:t xml:space="preserve">) </w:t>
            </w:r>
            <w:proofErr w:type="spellStart"/>
            <w:r w:rsidRPr="00C41D71">
              <w:t>thuần</w:t>
            </w:r>
            <w:proofErr w:type="spellEnd"/>
            <w:r w:rsidRPr="00C41D71">
              <w:t xml:space="preserve"> </w:t>
            </w:r>
            <w:proofErr w:type="spellStart"/>
            <w:r w:rsidRPr="00C41D71">
              <w:t>sau</w:t>
            </w:r>
            <w:proofErr w:type="spellEnd"/>
            <w:r w:rsidRPr="00C41D71">
              <w:t xml:space="preserve"> </w:t>
            </w:r>
            <w:proofErr w:type="spellStart"/>
            <w:r w:rsidRPr="00C41D71">
              <w:t>thuế</w:t>
            </w:r>
            <w:proofErr w:type="spellEnd"/>
            <w:r>
              <w:t>]</w:t>
            </w:r>
          </w:p>
        </w:tc>
        <w:tc>
          <w:tcPr>
            <w:tcW w:w="2331" w:type="dxa"/>
            <w:vAlign w:val="center"/>
            <w:hideMark/>
          </w:tcPr>
          <w:p w14:paraId="6B7BDD53" w14:textId="77777777" w:rsidR="00C41D71" w:rsidRPr="00C41D71" w:rsidRDefault="00C41D71" w:rsidP="0042584C">
            <w:pPr>
              <w:jc w:val="center"/>
            </w:pPr>
            <w:r w:rsidRPr="00C41D71">
              <w:t xml:space="preserve">&lt; 0, </w:t>
            </w:r>
            <w:proofErr w:type="spellStart"/>
            <w:r w:rsidRPr="00C41D71">
              <w:t>hoặc</w:t>
            </w:r>
            <w:proofErr w:type="spellEnd"/>
            <w:r w:rsidRPr="00C41D71">
              <w:t xml:space="preserve"> &lt; 0.5 </w:t>
            </w:r>
            <w:proofErr w:type="spellStart"/>
            <w:r w:rsidRPr="00C41D71">
              <w:t>liên</w:t>
            </w:r>
            <w:proofErr w:type="spellEnd"/>
            <w:r w:rsidRPr="00C41D71">
              <w:t xml:space="preserve"> </w:t>
            </w:r>
            <w:proofErr w:type="spellStart"/>
            <w:r w:rsidRPr="00C41D71">
              <w:t>tiếp</w:t>
            </w:r>
            <w:proofErr w:type="spellEnd"/>
            <w:r w:rsidRPr="00C41D71">
              <w:t xml:space="preserve"> ≥ 2 </w:t>
            </w:r>
            <w:proofErr w:type="spellStart"/>
            <w:r w:rsidRPr="00C41D71">
              <w:t>năm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CB17A6" w14:textId="27C60D00" w:rsidR="00C41D71" w:rsidRPr="00C41D71" w:rsidRDefault="00C41D71" w:rsidP="00C41D71">
            <w:r w:rsidRPr="00C41D71">
              <w:t xml:space="preserve">Lợi </w:t>
            </w:r>
            <w:proofErr w:type="spellStart"/>
            <w:r w:rsidRPr="00C41D71">
              <w:t>nhuận</w:t>
            </w:r>
            <w:proofErr w:type="spellEnd"/>
            <w:r w:rsidRPr="00C41D71">
              <w:t xml:space="preserve"> </w:t>
            </w:r>
            <w:proofErr w:type="spellStart"/>
            <w:r w:rsidRPr="00C41D71">
              <w:t>không</w:t>
            </w:r>
            <w:proofErr w:type="spellEnd"/>
            <w:r w:rsidRPr="00C41D71">
              <w:t xml:space="preserve"> </w:t>
            </w:r>
            <w:proofErr w:type="spellStart"/>
            <w:r w:rsidRPr="00C41D71">
              <w:t>tạo</w:t>
            </w:r>
            <w:proofErr w:type="spellEnd"/>
            <w:r w:rsidRPr="00C41D71">
              <w:t xml:space="preserve"> </w:t>
            </w:r>
            <w:proofErr w:type="spellStart"/>
            <w:r w:rsidRPr="00C41D71">
              <w:t>dòng</w:t>
            </w:r>
            <w:proofErr w:type="spellEnd"/>
            <w:r w:rsidRPr="00C41D71">
              <w:t xml:space="preserve"> </w:t>
            </w:r>
            <w:proofErr w:type="spellStart"/>
            <w:r w:rsidRPr="00C41D71">
              <w:t>tiền</w:t>
            </w:r>
            <w:proofErr w:type="spellEnd"/>
            <w:r w:rsidRPr="00C41D71">
              <w:t xml:space="preserve"> </w:t>
            </w:r>
            <w:proofErr w:type="spellStart"/>
            <w:r w:rsidRPr="00C41D71">
              <w:t>thực</w:t>
            </w:r>
            <w:proofErr w:type="spellEnd"/>
            <w:r w:rsidRPr="00C41D71">
              <w:t xml:space="preserve"> → </w:t>
            </w:r>
            <w:proofErr w:type="spellStart"/>
            <w:r w:rsidRPr="00C41D71">
              <w:t>khả</w:t>
            </w:r>
            <w:proofErr w:type="spellEnd"/>
            <w:r w:rsidRPr="00C41D71">
              <w:t xml:space="preserve"> </w:t>
            </w:r>
            <w:proofErr w:type="spellStart"/>
            <w:r w:rsidRPr="00C41D71">
              <w:t>năng</w:t>
            </w:r>
            <w:proofErr w:type="spellEnd"/>
            <w:r w:rsidRPr="00C41D71">
              <w:t xml:space="preserve"> </w:t>
            </w:r>
            <w:proofErr w:type="spellStart"/>
            <w:r w:rsidRPr="00C41D71">
              <w:t>lợi</w:t>
            </w:r>
            <w:proofErr w:type="spellEnd"/>
            <w:r w:rsidRPr="00C41D71">
              <w:t xml:space="preserve"> </w:t>
            </w:r>
            <w:proofErr w:type="spellStart"/>
            <w:r w:rsidRPr="00C41D71">
              <w:t>nhuận</w:t>
            </w:r>
            <w:proofErr w:type="spellEnd"/>
            <w:r w:rsidRPr="00C41D71">
              <w:t xml:space="preserve"> </w:t>
            </w:r>
            <w:proofErr w:type="spellStart"/>
            <w:r w:rsidRPr="00C41D71">
              <w:t>ảo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lợi</w:t>
            </w:r>
            <w:proofErr w:type="spellEnd"/>
            <w:r>
              <w:t xml:space="preserve"> </w:t>
            </w:r>
            <w:proofErr w:type="spellStart"/>
            <w:r>
              <w:t>nhuận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lai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 w:rsidR="00B95044">
              <w:t>.</w:t>
            </w:r>
          </w:p>
        </w:tc>
      </w:tr>
      <w:tr w:rsidR="00B95044" w:rsidRPr="00C41D71" w14:paraId="11E1F1AF" w14:textId="77777777" w:rsidTr="00022F8B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496C1ACE" w14:textId="38141D9A" w:rsidR="00B95044" w:rsidRPr="00C41D71" w:rsidRDefault="00B95044" w:rsidP="00C41D71">
            <w:r>
              <w:t>[</w:t>
            </w:r>
            <w:proofErr w:type="spellStart"/>
            <w:r w:rsidRPr="00022F8B">
              <w:t>Phải</w:t>
            </w:r>
            <w:proofErr w:type="spellEnd"/>
            <w:r w:rsidRPr="00022F8B">
              <w:t xml:space="preserve"> </w:t>
            </w:r>
            <w:proofErr w:type="spellStart"/>
            <w:r w:rsidRPr="00022F8B">
              <w:t>thu</w:t>
            </w:r>
            <w:proofErr w:type="spellEnd"/>
            <w:r w:rsidRPr="00022F8B">
              <w:t xml:space="preserve"> </w:t>
            </w:r>
            <w:proofErr w:type="spellStart"/>
            <w:r w:rsidRPr="00022F8B">
              <w:t>k</w:t>
            </w:r>
            <w:r>
              <w:t>hác</w:t>
            </w:r>
            <w:proofErr w:type="spellEnd"/>
            <w:r>
              <w:t xml:space="preserve">] </w:t>
            </w:r>
            <w:r w:rsidRPr="00022F8B">
              <w:t xml:space="preserve">/ </w:t>
            </w:r>
            <w:r>
              <w:t xml:space="preserve">[Các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>]</w:t>
            </w:r>
          </w:p>
        </w:tc>
        <w:tc>
          <w:tcPr>
            <w:tcW w:w="2331" w:type="dxa"/>
            <w:vAlign w:val="center"/>
            <w:hideMark/>
          </w:tcPr>
          <w:p w14:paraId="534D27FA" w14:textId="4F18A005" w:rsidR="00B95044" w:rsidRPr="00C41D71" w:rsidRDefault="00B95044" w:rsidP="0042584C">
            <w:pPr>
              <w:jc w:val="center"/>
            </w:pPr>
            <w:r w:rsidRPr="00022F8B">
              <w:t>&gt; 0.</w:t>
            </w: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6C18E3A4" w14:textId="1E759A5C" w:rsidR="00B95044" w:rsidRPr="00C41D71" w:rsidRDefault="00B95044" w:rsidP="00C41D71"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gốc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,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thuyết</w:t>
            </w:r>
            <w:proofErr w:type="spellEnd"/>
            <w:r>
              <w:t xml:space="preserve"> </w:t>
            </w:r>
            <w:proofErr w:type="spellStart"/>
            <w:r>
              <w:t>minh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 w:rsidRPr="0042584C">
              <w:t>thì</w:t>
            </w:r>
            <w:proofErr w:type="spellEnd"/>
            <w:r w:rsidRPr="0042584C">
              <w:t xml:space="preserve"> </w:t>
            </w:r>
            <w:proofErr w:type="spellStart"/>
            <w:r w:rsidRPr="0042584C">
              <w:t>có</w:t>
            </w:r>
            <w:proofErr w:type="spellEnd"/>
            <w:r w:rsidRPr="0042584C">
              <w:t xml:space="preserve"> </w:t>
            </w:r>
            <w:proofErr w:type="spellStart"/>
            <w:r w:rsidRPr="0042584C">
              <w:t>thể</w:t>
            </w:r>
            <w:proofErr w:type="spellEnd"/>
            <w:r w:rsidRPr="0042584C">
              <w:t xml:space="preserve"> </w:t>
            </w:r>
            <w:proofErr w:type="spellStart"/>
            <w:r w:rsidRPr="0042584C">
              <w:t>doanh</w:t>
            </w:r>
            <w:proofErr w:type="spellEnd"/>
            <w:r w:rsidRPr="0042584C">
              <w:t xml:space="preserve"> </w:t>
            </w:r>
            <w:proofErr w:type="spellStart"/>
            <w:r w:rsidRPr="0042584C">
              <w:t>nghiệp</w:t>
            </w:r>
            <w:proofErr w:type="spellEnd"/>
            <w:r w:rsidRPr="0042584C">
              <w:t xml:space="preserve"> </w:t>
            </w:r>
            <w:proofErr w:type="spellStart"/>
            <w:r w:rsidRPr="0042584C">
              <w:t>đang</w:t>
            </w:r>
            <w:proofErr w:type="spellEnd"/>
            <w:r w:rsidRPr="0042584C">
              <w:t xml:space="preserve"> “</w:t>
            </w:r>
            <w:proofErr w:type="spellStart"/>
            <w:r w:rsidRPr="0042584C">
              <w:t>giấu</w:t>
            </w:r>
            <w:proofErr w:type="spellEnd"/>
            <w:r w:rsidRPr="0042584C">
              <w:t xml:space="preserve"> </w:t>
            </w:r>
            <w:proofErr w:type="spellStart"/>
            <w:r w:rsidRPr="0042584C">
              <w:t>nợ</w:t>
            </w:r>
            <w:proofErr w:type="spellEnd"/>
            <w:r w:rsidRPr="0042584C">
              <w:t>”, “</w:t>
            </w:r>
            <w:proofErr w:type="spellStart"/>
            <w:r w:rsidRPr="0042584C">
              <w:t>vẽ</w:t>
            </w:r>
            <w:proofErr w:type="spellEnd"/>
            <w:r w:rsidRPr="0042584C">
              <w:t xml:space="preserve"> </w:t>
            </w:r>
            <w:proofErr w:type="spellStart"/>
            <w:r w:rsidRPr="0042584C">
              <w:t>tài</w:t>
            </w:r>
            <w:proofErr w:type="spellEnd"/>
            <w:r w:rsidRPr="0042584C">
              <w:t xml:space="preserve"> </w:t>
            </w:r>
            <w:proofErr w:type="spellStart"/>
            <w:r w:rsidRPr="0042584C">
              <w:t>sản</w:t>
            </w:r>
            <w:proofErr w:type="spellEnd"/>
            <w:r w:rsidRPr="0042584C">
              <w:t xml:space="preserve">” </w:t>
            </w:r>
            <w:proofErr w:type="spellStart"/>
            <w:r w:rsidRPr="0042584C">
              <w:t>hoặc</w:t>
            </w:r>
            <w:proofErr w:type="spellEnd"/>
            <w:r w:rsidRPr="0042584C">
              <w:t xml:space="preserve"> </w:t>
            </w:r>
            <w:proofErr w:type="spellStart"/>
            <w:r w:rsidRPr="0042584C">
              <w:t>ghi</w:t>
            </w:r>
            <w:proofErr w:type="spellEnd"/>
            <w:r w:rsidRPr="0042584C">
              <w:t xml:space="preserve"> </w:t>
            </w:r>
            <w:proofErr w:type="spellStart"/>
            <w:r w:rsidRPr="0042584C">
              <w:t>nhận</w:t>
            </w:r>
            <w:proofErr w:type="spellEnd"/>
            <w:r w:rsidRPr="0042584C">
              <w:t xml:space="preserve"> </w:t>
            </w:r>
            <w:proofErr w:type="spellStart"/>
            <w:r w:rsidRPr="0042584C">
              <w:t>doanh</w:t>
            </w:r>
            <w:proofErr w:type="spellEnd"/>
            <w:r w:rsidRPr="0042584C">
              <w:t xml:space="preserve"> </w:t>
            </w:r>
            <w:proofErr w:type="spellStart"/>
            <w:r w:rsidRPr="0042584C">
              <w:t>thu</w:t>
            </w:r>
            <w:proofErr w:type="spellEnd"/>
            <w:r w:rsidRPr="0042584C">
              <w:t xml:space="preserve"> </w:t>
            </w:r>
            <w:proofErr w:type="spellStart"/>
            <w:r w:rsidRPr="0042584C">
              <w:t>không</w:t>
            </w:r>
            <w:proofErr w:type="spellEnd"/>
            <w:r w:rsidRPr="0042584C">
              <w:t xml:space="preserve"> </w:t>
            </w:r>
            <w:proofErr w:type="spellStart"/>
            <w:r w:rsidRPr="0042584C">
              <w:t>đúng</w:t>
            </w:r>
            <w:proofErr w:type="spellEnd"/>
            <w:r w:rsidRPr="0042584C">
              <w:t xml:space="preserve"> </w:t>
            </w:r>
            <w:proofErr w:type="spellStart"/>
            <w:r w:rsidRPr="0042584C">
              <w:t>bản</w:t>
            </w:r>
            <w:proofErr w:type="spellEnd"/>
            <w:r w:rsidRPr="0042584C">
              <w:t xml:space="preserve"> </w:t>
            </w:r>
            <w:proofErr w:type="spellStart"/>
            <w:r w:rsidRPr="0042584C">
              <w:t>chất</w:t>
            </w:r>
            <w:proofErr w:type="spellEnd"/>
            <w:r w:rsidRPr="0042584C">
              <w:t>.</w:t>
            </w:r>
          </w:p>
        </w:tc>
      </w:tr>
      <w:tr w:rsidR="00B95044" w:rsidRPr="00C41D71" w14:paraId="2A3B927E" w14:textId="77777777" w:rsidTr="00022F8B">
        <w:trPr>
          <w:tblCellSpacing w:w="15" w:type="dxa"/>
        </w:trPr>
        <w:tc>
          <w:tcPr>
            <w:tcW w:w="2365" w:type="dxa"/>
            <w:vAlign w:val="center"/>
          </w:tcPr>
          <w:p w14:paraId="595F59E4" w14:textId="04E2435E" w:rsidR="00B95044" w:rsidRDefault="00B95044" w:rsidP="00C41D71">
            <w:r>
              <w:t>[</w:t>
            </w:r>
            <w:proofErr w:type="spellStart"/>
            <w:r w:rsidRPr="00B95044">
              <w:t>Dự</w:t>
            </w:r>
            <w:proofErr w:type="spellEnd"/>
            <w:r w:rsidRPr="00B95044">
              <w:t xml:space="preserve"> </w:t>
            </w:r>
            <w:proofErr w:type="spellStart"/>
            <w:r w:rsidRPr="00B95044">
              <w:t>phòng</w:t>
            </w:r>
            <w:proofErr w:type="spellEnd"/>
            <w:r w:rsidRPr="00B95044">
              <w:t xml:space="preserve"> </w:t>
            </w:r>
            <w:proofErr w:type="spellStart"/>
            <w:r w:rsidRPr="00B95044">
              <w:t>nợ</w:t>
            </w:r>
            <w:proofErr w:type="spellEnd"/>
            <w:r w:rsidRPr="00B95044">
              <w:t xml:space="preserve"> </w:t>
            </w:r>
            <w:proofErr w:type="spellStart"/>
            <w:r w:rsidRPr="00B95044">
              <w:t>khó</w:t>
            </w:r>
            <w:proofErr w:type="spellEnd"/>
            <w:r w:rsidRPr="00B95044">
              <w:t xml:space="preserve"> </w:t>
            </w:r>
            <w:proofErr w:type="spellStart"/>
            <w:r w:rsidRPr="00B95044">
              <w:t>đòi</w:t>
            </w:r>
            <w:proofErr w:type="spellEnd"/>
            <w:r>
              <w:t xml:space="preserve">] </w:t>
            </w:r>
            <w:r w:rsidRPr="00022F8B">
              <w:t xml:space="preserve">/ </w:t>
            </w:r>
            <w:r>
              <w:t xml:space="preserve">[Các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thu]</w:t>
            </w:r>
          </w:p>
        </w:tc>
        <w:tc>
          <w:tcPr>
            <w:tcW w:w="2331" w:type="dxa"/>
            <w:vAlign w:val="center"/>
          </w:tcPr>
          <w:p w14:paraId="3A086D4D" w14:textId="4E460F9A" w:rsidR="00B95044" w:rsidRPr="00C41D71" w:rsidRDefault="00B95044" w:rsidP="0042584C">
            <w:pPr>
              <w:jc w:val="center"/>
            </w:pPr>
            <w:r w:rsidRPr="00022F8B">
              <w:t>&gt; 0.</w:t>
            </w:r>
            <w:r>
              <w:t>3</w:t>
            </w:r>
          </w:p>
        </w:tc>
        <w:tc>
          <w:tcPr>
            <w:tcW w:w="0" w:type="auto"/>
            <w:vAlign w:val="center"/>
          </w:tcPr>
          <w:p w14:paraId="7055E4E8" w14:textId="2EC22AEE" w:rsidR="00B95044" w:rsidRPr="00C41D71" w:rsidRDefault="00B95044" w:rsidP="00C41D71">
            <w:proofErr w:type="spellStart"/>
            <w:r w:rsidRPr="00B95044">
              <w:t>Nợ</w:t>
            </w:r>
            <w:proofErr w:type="spellEnd"/>
            <w:r w:rsidRPr="00B95044">
              <w:t xml:space="preserve"> </w:t>
            </w:r>
            <w:proofErr w:type="spellStart"/>
            <w:r w:rsidRPr="00B95044">
              <w:t>xấu</w:t>
            </w:r>
            <w:proofErr w:type="spellEnd"/>
            <w:r w:rsidRPr="00B95044">
              <w:t xml:space="preserve"> </w:t>
            </w:r>
            <w:proofErr w:type="spellStart"/>
            <w:r w:rsidRPr="00B95044">
              <w:t>lớn</w:t>
            </w:r>
            <w:proofErr w:type="spellEnd"/>
            <w:r w:rsidRPr="00B95044">
              <w:t xml:space="preserve">, </w:t>
            </w:r>
            <w:proofErr w:type="spellStart"/>
            <w:r w:rsidRPr="00B95044">
              <w:t>có</w:t>
            </w:r>
            <w:proofErr w:type="spellEnd"/>
            <w:r w:rsidRPr="00B95044">
              <w:t xml:space="preserve"> </w:t>
            </w:r>
            <w:proofErr w:type="spellStart"/>
            <w:r w:rsidRPr="00B95044">
              <w:t>thể</w:t>
            </w:r>
            <w:proofErr w:type="spellEnd"/>
            <w:r w:rsidRPr="00B95044">
              <w:t xml:space="preserve"> </w:t>
            </w:r>
            <w:proofErr w:type="spellStart"/>
            <w:r w:rsidRPr="00B95044">
              <w:t>là</w:t>
            </w:r>
            <w:proofErr w:type="spellEnd"/>
            <w:r w:rsidRPr="00B95044">
              <w:t xml:space="preserve"> </w:t>
            </w:r>
            <w:proofErr w:type="spellStart"/>
            <w:r w:rsidRPr="00B95044">
              <w:t>kết</w:t>
            </w:r>
            <w:proofErr w:type="spellEnd"/>
            <w:r w:rsidRPr="00B95044">
              <w:t xml:space="preserve"> </w:t>
            </w:r>
            <w:proofErr w:type="spellStart"/>
            <w:r w:rsidRPr="00B95044">
              <w:t>quả</w:t>
            </w:r>
            <w:proofErr w:type="spellEnd"/>
            <w:r w:rsidRPr="00B95044">
              <w:t xml:space="preserve"> </w:t>
            </w:r>
            <w:proofErr w:type="spellStart"/>
            <w:r w:rsidRPr="00B95044">
              <w:t>của</w:t>
            </w:r>
            <w:proofErr w:type="spellEnd"/>
            <w:r w:rsidRPr="00B95044">
              <w:t xml:space="preserve"> </w:t>
            </w:r>
            <w:proofErr w:type="spellStart"/>
            <w:r w:rsidRPr="00B95044">
              <w:t>ghi</w:t>
            </w:r>
            <w:proofErr w:type="spellEnd"/>
            <w:r w:rsidRPr="00B95044">
              <w:t xml:space="preserve"> </w:t>
            </w:r>
            <w:proofErr w:type="spellStart"/>
            <w:r w:rsidRPr="00B95044">
              <w:t>nhận</w:t>
            </w:r>
            <w:proofErr w:type="spellEnd"/>
            <w:r w:rsidRPr="00B95044">
              <w:t xml:space="preserve"> </w:t>
            </w:r>
            <w:proofErr w:type="spellStart"/>
            <w:r w:rsidRPr="00B95044">
              <w:t>doanh</w:t>
            </w:r>
            <w:proofErr w:type="spellEnd"/>
            <w:r w:rsidRPr="00B95044">
              <w:t xml:space="preserve"> </w:t>
            </w:r>
            <w:proofErr w:type="spellStart"/>
            <w:r w:rsidRPr="00B95044">
              <w:t>thu</w:t>
            </w:r>
            <w:proofErr w:type="spellEnd"/>
            <w:r w:rsidRPr="00B95044">
              <w:t xml:space="preserve"> </w:t>
            </w:r>
            <w:proofErr w:type="spellStart"/>
            <w:r w:rsidRPr="00B95044">
              <w:t>không</w:t>
            </w:r>
            <w:proofErr w:type="spellEnd"/>
            <w:r w:rsidRPr="00B95044">
              <w:t xml:space="preserve"> </w:t>
            </w:r>
            <w:proofErr w:type="spellStart"/>
            <w:r w:rsidRPr="00B95044">
              <w:t>thu</w:t>
            </w:r>
            <w:proofErr w:type="spellEnd"/>
            <w:r w:rsidRPr="00B95044">
              <w:t xml:space="preserve"> </w:t>
            </w:r>
            <w:proofErr w:type="spellStart"/>
            <w:r w:rsidRPr="00B95044">
              <w:t>được</w:t>
            </w:r>
            <w:proofErr w:type="spellEnd"/>
            <w:r w:rsidRPr="00B95044">
              <w:t xml:space="preserve"> </w:t>
            </w:r>
            <w:proofErr w:type="spellStart"/>
            <w:r w:rsidRPr="00B95044">
              <w:t>tiền</w:t>
            </w:r>
            <w:proofErr w:type="spellEnd"/>
            <w:r>
              <w:t>.</w:t>
            </w:r>
          </w:p>
        </w:tc>
      </w:tr>
    </w:tbl>
    <w:p w14:paraId="1B2E69D6" w14:textId="77777777" w:rsidR="00386DC3" w:rsidRDefault="00386DC3"/>
    <w:p w14:paraId="47921A72" w14:textId="3C283BFD" w:rsidR="00B95044" w:rsidRDefault="00B95044"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>:</w:t>
      </w:r>
      <w:r w:rsidR="00362C7A">
        <w:t xml:space="preserve"> </w:t>
      </w:r>
      <w:proofErr w:type="gramStart"/>
      <w:r w:rsidR="00362C7A">
        <w:t xml:space="preserve">( </w:t>
      </w:r>
      <w:proofErr w:type="spellStart"/>
      <w:r w:rsidR="00362C7A">
        <w:t>Cái</w:t>
      </w:r>
      <w:proofErr w:type="spellEnd"/>
      <w:proofErr w:type="gramEnd"/>
      <w:r w:rsidR="00362C7A">
        <w:t xml:space="preserve"> </w:t>
      </w:r>
      <w:proofErr w:type="spellStart"/>
      <w:r w:rsidR="00362C7A">
        <w:t>này</w:t>
      </w:r>
      <w:proofErr w:type="spellEnd"/>
      <w:r w:rsidR="00362C7A">
        <w:t xml:space="preserve"> k </w:t>
      </w:r>
      <w:proofErr w:type="spellStart"/>
      <w:r w:rsidR="00362C7A">
        <w:t>phong</w:t>
      </w:r>
      <w:proofErr w:type="spellEnd"/>
      <w:r w:rsidR="00362C7A">
        <w:t xml:space="preserve"> </w:t>
      </w:r>
      <w:proofErr w:type="spellStart"/>
      <w:r w:rsidR="00362C7A">
        <w:t>tự</w:t>
      </w:r>
      <w:proofErr w:type="spellEnd"/>
      <w:r w:rsidR="00362C7A">
        <w:t xml:space="preserve"> </w:t>
      </w:r>
      <w:proofErr w:type="spellStart"/>
      <w:r w:rsidR="00362C7A">
        <w:t>xử</w:t>
      </w:r>
      <w:proofErr w:type="spellEnd"/>
      <w:r w:rsidR="00362C7A">
        <w:t xml:space="preserve"> </w:t>
      </w:r>
      <w:proofErr w:type="spellStart"/>
      <w:r w:rsidR="00362C7A">
        <w:t>nhé</w:t>
      </w:r>
      <w:proofErr w:type="spellEnd"/>
      <w:r w:rsidR="00362C7A">
        <w:t xml:space="preserve"> </w:t>
      </w:r>
      <w:proofErr w:type="spellStart"/>
      <w:r w:rsidR="00362C7A">
        <w:t>chứ</w:t>
      </w:r>
      <w:proofErr w:type="spellEnd"/>
      <w:r w:rsidR="00362C7A">
        <w:t xml:space="preserve"> k </w:t>
      </w:r>
      <w:proofErr w:type="spellStart"/>
      <w:r w:rsidR="00362C7A">
        <w:t>có</w:t>
      </w:r>
      <w:proofErr w:type="spellEnd"/>
      <w:r w:rsidR="00362C7A">
        <w:t xml:space="preserve"> ratio)</w:t>
      </w:r>
    </w:p>
    <w:p w14:paraId="6F2761E9" w14:textId="2FC826C6" w:rsidR="00362C7A" w:rsidRDefault="00B95044">
      <w:r>
        <w:t>+ [</w:t>
      </w:r>
      <w:r w:rsidRPr="00C41D71">
        <w:t>Lưu chuy</w:t>
      </w:r>
      <w:proofErr w:type="spellStart"/>
      <w:r w:rsidRPr="00C41D71">
        <w:t>ển</w:t>
      </w:r>
      <w:proofErr w:type="spellEnd"/>
      <w:r w:rsidRPr="00C41D71">
        <w:t xml:space="preserve"> </w:t>
      </w:r>
      <w:proofErr w:type="spellStart"/>
      <w:r w:rsidRPr="00C41D71">
        <w:t>tiền</w:t>
      </w:r>
      <w:proofErr w:type="spellEnd"/>
      <w:r w:rsidRPr="00C41D71">
        <w:t xml:space="preserve"> </w:t>
      </w:r>
      <w:proofErr w:type="spellStart"/>
      <w:r w:rsidRPr="00C41D71">
        <w:t>tệ</w:t>
      </w:r>
      <w:proofErr w:type="spellEnd"/>
      <w:r w:rsidRPr="00C41D71">
        <w:t xml:space="preserve"> </w:t>
      </w:r>
      <w:proofErr w:type="spellStart"/>
      <w:r w:rsidRPr="00C41D71">
        <w:t>ròng</w:t>
      </w:r>
      <w:proofErr w:type="spellEnd"/>
      <w:r w:rsidRPr="00C41D71">
        <w:t xml:space="preserve"> </w:t>
      </w:r>
      <w:proofErr w:type="spellStart"/>
      <w:r w:rsidRPr="00C41D71">
        <w:t>từ</w:t>
      </w:r>
      <w:proofErr w:type="spellEnd"/>
      <w:r w:rsidRPr="00C41D71">
        <w:t xml:space="preserve"> </w:t>
      </w:r>
      <w:proofErr w:type="spellStart"/>
      <w:r w:rsidRPr="00C41D71">
        <w:t>các</w:t>
      </w:r>
      <w:proofErr w:type="spellEnd"/>
      <w:r w:rsidRPr="00C41D71">
        <w:t xml:space="preserve"> </w:t>
      </w:r>
      <w:proofErr w:type="spellStart"/>
      <w:r w:rsidRPr="00C41D71">
        <w:t>hoạt</w:t>
      </w:r>
      <w:proofErr w:type="spellEnd"/>
      <w:r w:rsidRPr="00C41D71">
        <w:t xml:space="preserve"> </w:t>
      </w:r>
      <w:proofErr w:type="spellStart"/>
      <w:r w:rsidRPr="00C41D71">
        <w:t>động</w:t>
      </w:r>
      <w:proofErr w:type="spellEnd"/>
      <w:r w:rsidRPr="00C41D71">
        <w:t xml:space="preserve"> </w:t>
      </w:r>
      <w:proofErr w:type="spellStart"/>
      <w:r w:rsidRPr="00C41D71">
        <w:t>sản</w:t>
      </w:r>
      <w:proofErr w:type="spellEnd"/>
      <w:r w:rsidRPr="00C41D71">
        <w:t xml:space="preserve"> </w:t>
      </w:r>
      <w:proofErr w:type="spellStart"/>
      <w:r w:rsidRPr="00C41D71">
        <w:t>xuất</w:t>
      </w:r>
      <w:proofErr w:type="spellEnd"/>
      <w:r w:rsidRPr="00C41D71">
        <w:t xml:space="preserve"> </w:t>
      </w:r>
      <w:proofErr w:type="spellStart"/>
      <w:r w:rsidRPr="00C41D71">
        <w:t>kinh</w:t>
      </w:r>
      <w:proofErr w:type="spellEnd"/>
      <w:r w:rsidRPr="00C41D71">
        <w:t xml:space="preserve"> </w:t>
      </w:r>
      <w:proofErr w:type="spellStart"/>
      <w:r w:rsidRPr="00C41D71">
        <w:t>doanh</w:t>
      </w:r>
      <w:proofErr w:type="spellEnd"/>
      <w:r w:rsidR="00362C7A">
        <w:t>]</w:t>
      </w:r>
      <w:r w:rsidRPr="00C41D71"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r>
        <w:t>[</w:t>
      </w:r>
      <w:proofErr w:type="spellStart"/>
      <w:r w:rsidRPr="00C41D71">
        <w:t>Lãi</w:t>
      </w:r>
      <w:proofErr w:type="spellEnd"/>
      <w:r w:rsidRPr="00C41D71">
        <w:t>/(</w:t>
      </w:r>
      <w:proofErr w:type="spellStart"/>
      <w:r w:rsidRPr="00C41D71">
        <w:t>lỗ</w:t>
      </w:r>
      <w:proofErr w:type="spellEnd"/>
      <w:r w:rsidRPr="00C41D71">
        <w:t xml:space="preserve">) </w:t>
      </w:r>
      <w:proofErr w:type="spellStart"/>
      <w:r w:rsidRPr="00C41D71">
        <w:t>thuần</w:t>
      </w:r>
      <w:proofErr w:type="spellEnd"/>
      <w:r w:rsidRPr="00C41D71">
        <w:t xml:space="preserve"> </w:t>
      </w:r>
      <w:proofErr w:type="spellStart"/>
      <w:r w:rsidRPr="00C41D71">
        <w:t>sau</w:t>
      </w:r>
      <w:proofErr w:type="spellEnd"/>
      <w:r w:rsidRPr="00C41D71">
        <w:t xml:space="preserve"> </w:t>
      </w:r>
      <w:proofErr w:type="spellStart"/>
      <w:r w:rsidRPr="00C41D71">
        <w:t>thuế</w:t>
      </w:r>
      <w:proofErr w:type="spellEnd"/>
      <w:r>
        <w:t>]</w:t>
      </w:r>
      <w:r w:rsidR="00362C7A">
        <w:t xml:space="preserve"> </w:t>
      </w:r>
      <w:proofErr w:type="spellStart"/>
      <w:r w:rsidR="00362C7A">
        <w:t>dương</w:t>
      </w:r>
      <w:proofErr w:type="spellEnd"/>
      <w:r w:rsidR="00362C7A">
        <w:t xml:space="preserve"> </w:t>
      </w:r>
      <w:proofErr w:type="spellStart"/>
      <w:r w:rsidR="00362C7A">
        <w:t>trong</w:t>
      </w:r>
      <w:proofErr w:type="spellEnd"/>
      <w:r w:rsidR="00362C7A">
        <w:t xml:space="preserve"> 2 </w:t>
      </w:r>
      <w:proofErr w:type="spellStart"/>
      <w:r w:rsidR="00362C7A">
        <w:t>năm</w:t>
      </w:r>
      <w:proofErr w:type="spellEnd"/>
      <w:r w:rsidR="00362C7A">
        <w:t xml:space="preserve"> </w:t>
      </w:r>
      <w:proofErr w:type="spellStart"/>
      <w:r w:rsidR="00362C7A">
        <w:t>trở</w:t>
      </w:r>
      <w:proofErr w:type="spellEnd"/>
      <w:r w:rsidR="00362C7A">
        <w:t xml:space="preserve"> </w:t>
      </w:r>
      <w:proofErr w:type="spellStart"/>
      <w:r w:rsidR="00362C7A">
        <w:t>lên</w:t>
      </w:r>
      <w:proofErr w:type="spellEnd"/>
      <w:r w:rsidR="00362C7A">
        <w:t xml:space="preserve"> </w:t>
      </w:r>
      <w:r w:rsidR="00362C7A">
        <w:sym w:font="Wingdings" w:char="F0E0"/>
      </w:r>
      <w:r w:rsidR="00362C7A">
        <w:t xml:space="preserve"> </w:t>
      </w:r>
      <w:r w:rsidR="00362C7A" w:rsidRPr="00362C7A">
        <w:t xml:space="preserve">Bán </w:t>
      </w:r>
      <w:proofErr w:type="spellStart"/>
      <w:r w:rsidR="00362C7A" w:rsidRPr="00362C7A">
        <w:t>hàng</w:t>
      </w:r>
      <w:proofErr w:type="spellEnd"/>
      <w:r w:rsidR="00362C7A" w:rsidRPr="00362C7A">
        <w:t xml:space="preserve"> </w:t>
      </w:r>
      <w:proofErr w:type="spellStart"/>
      <w:r w:rsidR="00362C7A" w:rsidRPr="00362C7A">
        <w:t>không</w:t>
      </w:r>
      <w:proofErr w:type="spellEnd"/>
      <w:r w:rsidR="00362C7A" w:rsidRPr="00362C7A">
        <w:t xml:space="preserve"> </w:t>
      </w:r>
      <w:proofErr w:type="spellStart"/>
      <w:r w:rsidR="00362C7A" w:rsidRPr="00362C7A">
        <w:t>thu</w:t>
      </w:r>
      <w:proofErr w:type="spellEnd"/>
      <w:r w:rsidR="00362C7A" w:rsidRPr="00362C7A">
        <w:t xml:space="preserve"> </w:t>
      </w:r>
      <w:proofErr w:type="spellStart"/>
      <w:r w:rsidR="00362C7A" w:rsidRPr="00362C7A">
        <w:t>được</w:t>
      </w:r>
      <w:proofErr w:type="spellEnd"/>
      <w:r w:rsidR="00362C7A" w:rsidRPr="00362C7A">
        <w:t xml:space="preserve"> </w:t>
      </w:r>
      <w:proofErr w:type="spellStart"/>
      <w:r w:rsidR="00362C7A" w:rsidRPr="00362C7A">
        <w:t>tiền</w:t>
      </w:r>
      <w:proofErr w:type="spellEnd"/>
      <w:r w:rsidR="00362C7A" w:rsidRPr="00362C7A">
        <w:t xml:space="preserve"> </w:t>
      </w:r>
      <w:proofErr w:type="spellStart"/>
      <w:r w:rsidR="00362C7A" w:rsidRPr="00362C7A">
        <w:t>hoặc</w:t>
      </w:r>
      <w:proofErr w:type="spellEnd"/>
      <w:r w:rsidR="00362C7A" w:rsidRPr="00362C7A">
        <w:t xml:space="preserve"> </w:t>
      </w:r>
      <w:proofErr w:type="spellStart"/>
      <w:r w:rsidR="00362C7A" w:rsidRPr="00362C7A">
        <w:t>ghi</w:t>
      </w:r>
      <w:proofErr w:type="spellEnd"/>
      <w:r w:rsidR="00362C7A" w:rsidRPr="00362C7A">
        <w:t xml:space="preserve"> </w:t>
      </w:r>
      <w:proofErr w:type="spellStart"/>
      <w:r w:rsidR="00362C7A" w:rsidRPr="00362C7A">
        <w:t>nhận</w:t>
      </w:r>
      <w:proofErr w:type="spellEnd"/>
      <w:r w:rsidR="00362C7A" w:rsidRPr="00362C7A">
        <w:t xml:space="preserve"> </w:t>
      </w:r>
      <w:proofErr w:type="spellStart"/>
      <w:r w:rsidR="00362C7A" w:rsidRPr="00362C7A">
        <w:t>doanh</w:t>
      </w:r>
      <w:proofErr w:type="spellEnd"/>
      <w:r w:rsidR="00362C7A" w:rsidRPr="00362C7A">
        <w:t xml:space="preserve"> </w:t>
      </w:r>
      <w:proofErr w:type="spellStart"/>
      <w:r w:rsidR="00362C7A" w:rsidRPr="00362C7A">
        <w:t>thu</w:t>
      </w:r>
      <w:proofErr w:type="spellEnd"/>
      <w:r w:rsidR="00362C7A" w:rsidRPr="00362C7A">
        <w:t xml:space="preserve"> </w:t>
      </w:r>
      <w:proofErr w:type="spellStart"/>
      <w:r w:rsidR="00362C7A" w:rsidRPr="00362C7A">
        <w:t>không</w:t>
      </w:r>
      <w:proofErr w:type="spellEnd"/>
      <w:r w:rsidR="00362C7A" w:rsidRPr="00362C7A">
        <w:t xml:space="preserve"> </w:t>
      </w:r>
      <w:proofErr w:type="spellStart"/>
      <w:r w:rsidR="00362C7A" w:rsidRPr="00362C7A">
        <w:t>hợp</w:t>
      </w:r>
      <w:proofErr w:type="spellEnd"/>
      <w:r w:rsidR="00362C7A" w:rsidRPr="00362C7A">
        <w:t xml:space="preserve"> </w:t>
      </w:r>
      <w:proofErr w:type="spellStart"/>
      <w:r w:rsidR="00362C7A" w:rsidRPr="00362C7A">
        <w:t>lệ</w:t>
      </w:r>
      <w:proofErr w:type="spellEnd"/>
    </w:p>
    <w:p w14:paraId="69DC71C4" w14:textId="77777777" w:rsidR="00362C7A" w:rsidRDefault="00362C7A"/>
    <w:p w14:paraId="6B9077D4" w14:textId="5D3710FA" w:rsidR="00362C7A" w:rsidRDefault="00362C7A">
      <w:r>
        <w:t xml:space="preserve">+ Doanh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&gt; 50%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CFO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r>
        <w:sym w:font="Wingdings" w:char="F0E0"/>
      </w:r>
      <w:r>
        <w:t xml:space="preserve"> Doanh </w:t>
      </w:r>
      <w:proofErr w:type="spellStart"/>
      <w:r>
        <w:t>thu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0F748555" w14:textId="77777777" w:rsidR="00362C7A" w:rsidRDefault="00362C7A"/>
    <w:p w14:paraId="1E382B23" w14:textId="6C67D435" w:rsidR="00362C7A" w:rsidRDefault="00362C7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62C7A" w:rsidRPr="00362C7A" w14:paraId="4FFEDFD2" w14:textId="77777777" w:rsidTr="00362C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428D2" w14:textId="77777777" w:rsidR="00362C7A" w:rsidRPr="00362C7A" w:rsidRDefault="00362C7A" w:rsidP="00362C7A"/>
        </w:tc>
      </w:tr>
    </w:tbl>
    <w:p w14:paraId="7FDD6BD4" w14:textId="77777777" w:rsidR="00362C7A" w:rsidRPr="00362C7A" w:rsidRDefault="00362C7A" w:rsidP="00362C7A">
      <w:pPr>
        <w:rPr>
          <w:vanish/>
        </w:rPr>
      </w:pPr>
    </w:p>
    <w:p w14:paraId="1DDCCBF7" w14:textId="688C7312" w:rsidR="00B95044" w:rsidRDefault="00B95044"/>
    <w:p w14:paraId="39EF77E0" w14:textId="77777777" w:rsidR="00B95044" w:rsidRDefault="00B95044"/>
    <w:sectPr w:rsidR="00B95044" w:rsidSect="006C4AC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65272D"/>
    <w:multiLevelType w:val="hybridMultilevel"/>
    <w:tmpl w:val="DB7EFAEE"/>
    <w:lvl w:ilvl="0" w:tplc="B55C059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970A0"/>
    <w:multiLevelType w:val="hybridMultilevel"/>
    <w:tmpl w:val="EC8084FA"/>
    <w:lvl w:ilvl="0" w:tplc="1E8C573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4851">
    <w:abstractNumId w:val="0"/>
  </w:num>
  <w:num w:numId="2" w16cid:durableId="1896307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71"/>
    <w:rsid w:val="00022F8B"/>
    <w:rsid w:val="001666F1"/>
    <w:rsid w:val="00362C7A"/>
    <w:rsid w:val="00380B05"/>
    <w:rsid w:val="00386DC3"/>
    <w:rsid w:val="0042584C"/>
    <w:rsid w:val="00433531"/>
    <w:rsid w:val="006C4ACC"/>
    <w:rsid w:val="009A07DB"/>
    <w:rsid w:val="00B95044"/>
    <w:rsid w:val="00BD3949"/>
    <w:rsid w:val="00C41D71"/>
    <w:rsid w:val="00CC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F78BF2"/>
  <w15:chartTrackingRefBased/>
  <w15:docId w15:val="{5D4F6FD7-7A94-4B30-8A90-6F3B1AE1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D7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D7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D7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D7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D7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D7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D7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D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D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D71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D7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D7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D7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D7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D7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D7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D7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D7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D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D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D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D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D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D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9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Quang Trịnh</dc:creator>
  <cp:keywords/>
  <dc:description/>
  <cp:lastModifiedBy>Minh Quang Trịnh</cp:lastModifiedBy>
  <cp:revision>1</cp:revision>
  <dcterms:created xsi:type="dcterms:W3CDTF">2025-05-28T08:20:00Z</dcterms:created>
  <dcterms:modified xsi:type="dcterms:W3CDTF">2025-05-28T10:23:00Z</dcterms:modified>
</cp:coreProperties>
</file>