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Learn about encryption issues in the attachment. Duration: 3 weeks.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Deadline: 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Report presentation: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1. Introduce your findings content (1 point)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Recap, findings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2. Body: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Algorithms related to encryption (AES, RSA,..) (2 pts)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SHA and content links as in the file (4 pts)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Use any programming language, library, command line, openssl, sample code from github to demo each algorithm (2 points)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3. Conclusion (0.5 pt)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4. Evaluate the contributions of group members (0.5 points), members who do not work deduct -1 point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(Content presentation should present algorithms, illustrations, code and demo screenshots and output)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The group reports summarily, each member evaluates the evaluation members (peer-to-peer assessment) (Group_StudentName performs the evaluation)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rPr>
          <w:color w:val="373a3c"/>
          <w:sz w:val="23"/>
          <w:szCs w:val="23"/>
        </w:rPr>
      </w:pPr>
      <w:r w:rsidDel="00000000" w:rsidR="00000000" w:rsidRPr="00000000">
        <w:rPr>
          <w:color w:val="373a3c"/>
          <w:sz w:val="23"/>
          <w:szCs w:val="23"/>
          <w:rtl w:val="0"/>
        </w:rPr>
        <w:t xml:space="preserve">(Detailed rubics and member evaluation files will be sent later)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