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6" w:name="content"/>
    <w:bookmarkStart w:id="35" w:name="X7c71b9dd6a8108f6eb36bf8934c9f74c42fafb4"/>
    <w:p>
      <w:pPr>
        <w:pStyle w:val="Heading1"/>
      </w:pPr>
      <w:r>
        <w:t xml:space="preserve">Polkin’s Interpretation of Horror &amp; Storycraft Guidelines</w:t>
      </w:r>
    </w:p>
    <w:p>
      <w:pPr>
        <w:pStyle w:val="FirstParagraph"/>
      </w:pPr>
      <w:r>
        <w:t xml:space="preserve">This document distils Polkin’s philosophy of horror from our extensive discussions and translates those insights into practical principles for crafting stories in</w:t>
      </w:r>
      <w:r>
        <w:t xml:space="preserve"> </w:t>
      </w:r>
      <w:r>
        <w:rPr>
          <w:b/>
          <w:bCs/>
        </w:rPr>
        <w:t xml:space="preserve">The Elidoras Codex (TEC)</w:t>
      </w:r>
      <w:r>
        <w:t xml:space="preserve"> </w:t>
      </w:r>
      <w:r>
        <w:t xml:space="preserve">universe.</w:t>
      </w:r>
    </w:p>
    <w:bookmarkStart w:id="25" w:name="understanding-horror"/>
    <w:p>
      <w:pPr>
        <w:pStyle w:val="Heading2"/>
      </w:pPr>
      <w:r>
        <w:t xml:space="preserve">1 Understanding Horror</w:t>
      </w:r>
    </w:p>
    <w:bookmarkStart w:id="21" w:name="moral-collapse-is-the-true-monster"/>
    <w:p>
      <w:pPr>
        <w:pStyle w:val="Heading3"/>
      </w:pPr>
      <w:r>
        <w:t xml:space="preserve">1.1 Moral Collapse Is the True Monster</w:t>
      </w:r>
    </w:p>
    <w:p>
      <w:pPr>
        <w:pStyle w:val="FirstParagraph"/>
      </w:pPr>
      <w:r>
        <w:t xml:space="preserve">Horror isn’t defined by gore or jump scares; it lives in the breakdown of values. In</w:t>
      </w:r>
      <w:r>
        <w:t xml:space="preserve"> </w:t>
      </w:r>
      <w:r>
        <w:rPr>
          <w:i/>
          <w:iCs/>
        </w:rPr>
        <w:t xml:space="preserve">The Strain</w:t>
      </w:r>
      <w:r>
        <w:t xml:space="preserve"> </w:t>
      </w:r>
      <w:r>
        <w:t xml:space="preserve">and similar stories, the real terror comes when familiar bonds—friendship, family, community—are corrupted. When characters must choose between mercy and survival, their old selves die with those choices. As Polkin said, “the collapse of what you hold dear is the real monster.” The infection spreads in bodies and in ethics.</w:t>
      </w:r>
    </w:p>
    <w:p>
      <w:pPr>
        <w:pStyle w:val="Compact"/>
        <w:numPr>
          <w:ilvl w:val="0"/>
          <w:numId w:val="1001"/>
        </w:numPr>
      </w:pPr>
      <w:r>
        <w:rPr>
          <w:b/>
          <w:bCs/>
        </w:rPr>
        <w:t xml:space="preserve">Mercy as a weapon:</w:t>
      </w:r>
      <w:r>
        <w:t xml:space="preserve"> </w:t>
      </w:r>
      <w:r>
        <w:t xml:space="preserve">Moments like Jim’s execution in</w:t>
      </w:r>
      <w:r>
        <w:t xml:space="preserve"> </w:t>
      </w:r>
      <w:r>
        <w:rPr>
          <w:i/>
          <w:iCs/>
        </w:rPr>
        <w:t xml:space="preserve">The Strain</w:t>
      </w:r>
      <w:r>
        <w:t xml:space="preserve"> </w:t>
      </w:r>
      <w:r>
        <w:t xml:space="preserve">show that mercy killings are as harrowing as violence. By ritualising mercy (last rites) and showing the psychological toll on characters, stories expose the cost of survival.</w:t>
      </w:r>
    </w:p>
    <w:p>
      <w:pPr>
        <w:pStyle w:val="Compact"/>
        <w:numPr>
          <w:ilvl w:val="0"/>
          <w:numId w:val="1001"/>
        </w:numPr>
      </w:pPr>
      <w:r>
        <w:rPr>
          <w:b/>
          <w:bCs/>
        </w:rPr>
        <w:t xml:space="preserve">Hope as currency:</w:t>
      </w:r>
      <w:r>
        <w:t xml:space="preserve"> </w:t>
      </w:r>
      <w:r>
        <w:t xml:space="preserve">Hope isn’t just an emotion; it’s energy that predators feed on. The Master’s promise to Ephraim isn’t about physical harm—it’s about killing hope. In TEC, hope can be treated as a resource that draws both allies and threats.</w:t>
      </w:r>
    </w:p>
    <w:p>
      <w:pPr>
        <w:pStyle w:val="Compact"/>
        <w:numPr>
          <w:ilvl w:val="0"/>
          <w:numId w:val="1001"/>
        </w:numPr>
      </w:pPr>
      <w:r>
        <w:rPr>
          <w:b/>
          <w:bCs/>
        </w:rPr>
        <w:t xml:space="preserve">Children as catalysts:</w:t>
      </w:r>
      <w:r>
        <w:t xml:space="preserve"> </w:t>
      </w:r>
      <w:r>
        <w:t xml:space="preserve">Innocent characters drive tension because they force adults to break rules. Scenes where children fetch cigarettes or chase parents into danger make clear that “naive kindness is as lethal as cruelty.”</w:t>
      </w:r>
    </w:p>
    <w:bookmarkEnd w:id="21"/>
    <w:bookmarkStart w:id="23" w:name="systems-defy-our-models"/>
    <w:p>
      <w:pPr>
        <w:pStyle w:val="Heading3"/>
      </w:pPr>
      <w:r>
        <w:t xml:space="preserve">1.2 Systems Defy Our Models</w:t>
      </w:r>
    </w:p>
    <w:p>
      <w:pPr>
        <w:pStyle w:val="FirstParagraph"/>
      </w:pPr>
      <w:r>
        <w:t xml:space="preserve">Polkin draws parallels between horror and quantum physics: we build models to predict the world, but the system does not care. In quantum experiments, observation changes outcomes; in horror, human intervention can make things worse. This fuels existential dread—the sense that our stories and plans are flukes within a universe that resists control. Cosmic horror emerges from acknowledging that the universe might be indifferent or even intelligent in a way we can’t comprehend</w:t>
      </w:r>
      <w:hyperlink r:id="rId22">
        <w:r>
          <w:rPr>
            <w:rStyle w:val="Hyperlink"/>
          </w:rPr>
          <w:t xml:space="preserve">[1]</w:t>
        </w:r>
      </w:hyperlink>
      <w:r>
        <w:t xml:space="preserve">.</w:t>
      </w:r>
    </w:p>
    <w:bookmarkEnd w:id="23"/>
    <w:bookmarkStart w:id="24" w:name="tropes-as-laws-not-clichés"/>
    <w:p>
      <w:pPr>
        <w:pStyle w:val="Heading3"/>
      </w:pPr>
      <w:r>
        <w:t xml:space="preserve">1.3 Tropes as Laws, Not Clichés</w:t>
      </w:r>
    </w:p>
    <w:p>
      <w:pPr>
        <w:pStyle w:val="FirstParagraph"/>
      </w:pPr>
      <w:r>
        <w:t xml:space="preserve">Tropes aren’t lazy writing; they’re narrative constants. Like physical laws, they encode survival information across generations. Chekhov’s gun, the hero’s journey, and archetypes exist because they reflect how audiences process story. Polkin argues that originality comes not from discarding tropes but from weaponising them—burying real guns among fakes so the audience can’t parse what matters.</w:t>
      </w:r>
    </w:p>
    <w:bookmarkEnd w:id="24"/>
    <w:bookmarkEnd w:id="25"/>
    <w:bookmarkStart w:id="33" w:name="crafting-stories-in-tec"/>
    <w:p>
      <w:pPr>
        <w:pStyle w:val="Heading2"/>
      </w:pPr>
      <w:r>
        <w:t xml:space="preserve">2 Crafting Stories in TEC</w:t>
      </w:r>
    </w:p>
    <w:bookmarkStart w:id="26" w:name="align-with-the-eight-axioms"/>
    <w:p>
      <w:pPr>
        <w:pStyle w:val="Heading3"/>
      </w:pPr>
      <w:r>
        <w:t xml:space="preserve">2.1 Align with the Eight Axioms</w:t>
      </w:r>
    </w:p>
    <w:p>
      <w:pPr>
        <w:pStyle w:val="FirstParagraph"/>
      </w:pPr>
      <w:r>
        <w:t xml:space="preserve">The Eight Axioms (Narrative Supremacy, Duality, Flawed Hero, Justifiable Force, Sovereign Accountability, Authentic Performance, Transparency and Generational Decline) provide ethical scaffolding for TEC</w:t>
      </w:r>
      <w:hyperlink r:id="rId22">
        <w:r>
          <w:rPr>
            <w:rStyle w:val="Hyperlink"/>
          </w:rPr>
          <w:t xml:space="preserve">[1]</w:t>
        </w:r>
      </w:hyperlink>
      <w:r>
        <w:t xml:space="preserve">. When designing horror narratives:</w:t>
      </w:r>
    </w:p>
    <w:p>
      <w:pPr>
        <w:pStyle w:val="Compact"/>
        <w:numPr>
          <w:ilvl w:val="0"/>
          <w:numId w:val="1002"/>
        </w:numPr>
      </w:pPr>
      <w:r>
        <w:rPr>
          <w:b/>
          <w:bCs/>
        </w:rPr>
        <w:t xml:space="preserve">Narrative Supremacy:</w:t>
      </w:r>
      <w:r>
        <w:t xml:space="preserve"> </w:t>
      </w:r>
      <w:r>
        <w:t xml:space="preserve">Let the story drive mechanics; ensure that every supernatural element and ritual has narrative justification.</w:t>
      </w:r>
    </w:p>
    <w:p>
      <w:pPr>
        <w:pStyle w:val="Compact"/>
        <w:numPr>
          <w:ilvl w:val="0"/>
          <w:numId w:val="1002"/>
        </w:numPr>
      </w:pPr>
      <w:r>
        <w:rPr>
          <w:b/>
          <w:bCs/>
        </w:rPr>
        <w:t xml:space="preserve">Flawed Hero:</w:t>
      </w:r>
      <w:r>
        <w:t xml:space="preserve"> </w:t>
      </w:r>
      <w:r>
        <w:t xml:space="preserve">Make protagonists imperfect. Their mistakes should be the engine of plot—redeeming themselves or deepening tragedy.</w:t>
      </w:r>
    </w:p>
    <w:p>
      <w:pPr>
        <w:pStyle w:val="Compact"/>
        <w:numPr>
          <w:ilvl w:val="0"/>
          <w:numId w:val="1002"/>
        </w:numPr>
      </w:pPr>
      <w:r>
        <w:rPr>
          <w:b/>
          <w:bCs/>
        </w:rPr>
        <w:t xml:space="preserve">Justifiable Force &amp; Sovereign Accountability:</w:t>
      </w:r>
      <w:r>
        <w:t xml:space="preserve"> </w:t>
      </w:r>
      <w:r>
        <w:t xml:space="preserve">Violence may be necessary, but characters must face consequences. This balances catharsis with responsibility.</w:t>
      </w:r>
    </w:p>
    <w:p>
      <w:pPr>
        <w:pStyle w:val="Compact"/>
        <w:numPr>
          <w:ilvl w:val="0"/>
          <w:numId w:val="1002"/>
        </w:numPr>
      </w:pPr>
      <w:r>
        <w:rPr>
          <w:b/>
          <w:bCs/>
        </w:rPr>
        <w:t xml:space="preserve">Transparency &amp; Authentic Performance:</w:t>
      </w:r>
      <w:r>
        <w:t xml:space="preserve"> </w:t>
      </w:r>
      <w:r>
        <w:t xml:space="preserve">Reveal AI involvement and meta‑levels openly; avoid exploiting real trauma without context.</w:t>
      </w:r>
    </w:p>
    <w:bookmarkEnd w:id="26"/>
    <w:bookmarkStart w:id="27" w:name="X65f7e7032cbec34ca8c39814fc7681d0f9c7ff6"/>
    <w:p>
      <w:pPr>
        <w:pStyle w:val="Heading3"/>
      </w:pPr>
      <w:r>
        <w:t xml:space="preserve">2.2 Use Horror to Explore Ethics, Not Exploit Suffering</w:t>
      </w:r>
    </w:p>
    <w:p>
      <w:pPr>
        <w:pStyle w:val="FirstParagraph"/>
      </w:pPr>
      <w:r>
        <w:t xml:space="preserve">Horror should question systems of power, not just shock viewers. Reflect real fears—addiction, mental illness, systemic oppression—without glamorising them. Polkin’s candid discussions about addiction and societal failure highlight the need to handle vice and trauma with care. In TEC:</w:t>
      </w:r>
    </w:p>
    <w:p>
      <w:pPr>
        <w:pStyle w:val="Compact"/>
        <w:numPr>
          <w:ilvl w:val="0"/>
          <w:numId w:val="1003"/>
        </w:numPr>
      </w:pPr>
      <w:r>
        <w:rPr>
          <w:b/>
          <w:bCs/>
        </w:rPr>
        <w:t xml:space="preserve">Vice as economy:</w:t>
      </w:r>
      <w:r>
        <w:t xml:space="preserve"> </w:t>
      </w:r>
      <w:r>
        <w:t xml:space="preserve">Drugs like Reap can be plot devices that confer power at a moral cost. Show how supply and regulation mirror real‑world exploitation.</w:t>
      </w:r>
    </w:p>
    <w:p>
      <w:pPr>
        <w:pStyle w:val="Compact"/>
        <w:numPr>
          <w:ilvl w:val="0"/>
          <w:numId w:val="1003"/>
        </w:numPr>
      </w:pPr>
      <w:r>
        <w:rPr>
          <w:b/>
          <w:bCs/>
        </w:rPr>
        <w:t xml:space="preserve">Mental health:</w:t>
      </w:r>
      <w:r>
        <w:t xml:space="preserve"> </w:t>
      </w:r>
      <w:r>
        <w:t xml:space="preserve">Characters’ diagnoses (ADHD, OCD, PTSD, bipolar) can inform their actions without defining them. Portray coping strategies and breakdowns honestly.</w:t>
      </w:r>
    </w:p>
    <w:p>
      <w:pPr>
        <w:pStyle w:val="Compact"/>
        <w:numPr>
          <w:ilvl w:val="0"/>
          <w:numId w:val="1003"/>
        </w:numPr>
      </w:pPr>
      <w:r>
        <w:rPr>
          <w:b/>
          <w:bCs/>
        </w:rPr>
        <w:t xml:space="preserve">Consent and agency:</w:t>
      </w:r>
      <w:r>
        <w:t xml:space="preserve"> </w:t>
      </w:r>
      <w:r>
        <w:t xml:space="preserve">Acknowledge that characters often lack control over systemic forces, but empower them to make meaningful choices.</w:t>
      </w:r>
    </w:p>
    <w:bookmarkEnd w:id="27"/>
    <w:bookmarkStart w:id="28" w:name="build-tension-through-relationships"/>
    <w:p>
      <w:pPr>
        <w:pStyle w:val="Heading3"/>
      </w:pPr>
      <w:r>
        <w:t xml:space="preserve">2.3 Build Tension Through Relationships</w:t>
      </w:r>
    </w:p>
    <w:p>
      <w:pPr>
        <w:pStyle w:val="FirstParagraph"/>
      </w:pPr>
      <w:r>
        <w:t xml:space="preserve">The strongest horror arises from intimacy. Explore love triangles, family bonds, mentor–pupil dynamics and reluctant guardianship. When trust fractures, audiences feel the loss more acutely than any monster attack. Use archetypes like:</w:t>
      </w:r>
    </w:p>
    <w:p>
      <w:pPr>
        <w:pStyle w:val="Compact"/>
        <w:numPr>
          <w:ilvl w:val="0"/>
          <w:numId w:val="1004"/>
        </w:numPr>
      </w:pPr>
      <w:r>
        <w:rPr>
          <w:b/>
          <w:bCs/>
        </w:rPr>
        <w:t xml:space="preserve">The Reluctant Guardian:</w:t>
      </w:r>
      <w:r>
        <w:t xml:space="preserve"> </w:t>
      </w:r>
      <w:r>
        <w:t xml:space="preserve">A pragmatic survivor who kills without remorse but is haunted by accusations of heartlessness. Their arc asks whether killing for the greater good destroys one’s humanity.</w:t>
      </w:r>
    </w:p>
    <w:p>
      <w:pPr>
        <w:pStyle w:val="Compact"/>
        <w:numPr>
          <w:ilvl w:val="0"/>
          <w:numId w:val="1004"/>
        </w:numPr>
      </w:pPr>
      <w:r>
        <w:rPr>
          <w:b/>
          <w:bCs/>
        </w:rPr>
        <w:t xml:space="preserve">The Obsessive Keeper:</w:t>
      </w:r>
      <w:r>
        <w:t xml:space="preserve"> </w:t>
      </w:r>
      <w:r>
        <w:t xml:space="preserve">A character like Setrakian who clings to ritual and knowledge, willing to sacrifice everything for revenge or justice.</w:t>
      </w:r>
    </w:p>
    <w:p>
      <w:pPr>
        <w:pStyle w:val="Compact"/>
        <w:numPr>
          <w:ilvl w:val="0"/>
          <w:numId w:val="1004"/>
        </w:numPr>
      </w:pPr>
      <w:r>
        <w:rPr>
          <w:b/>
          <w:bCs/>
        </w:rPr>
        <w:t xml:space="preserve">The Moral Scientist:</w:t>
      </w:r>
      <w:r>
        <w:t xml:space="preserve"> </w:t>
      </w:r>
      <w:r>
        <w:t xml:space="preserve">Someone like Ephraim who believes science can solve an apocalypse but must reckon with the limitations of logic.</w:t>
      </w:r>
    </w:p>
    <w:bookmarkEnd w:id="28"/>
    <w:bookmarkStart w:id="29" w:name="embed-cosmic-philosophical-depth"/>
    <w:p>
      <w:pPr>
        <w:pStyle w:val="Heading3"/>
      </w:pPr>
      <w:r>
        <w:t xml:space="preserve">2.4 Embed Cosmic &amp; Philosophical Depth</w:t>
      </w:r>
    </w:p>
    <w:p>
      <w:pPr>
        <w:pStyle w:val="FirstParagraph"/>
      </w:pPr>
      <w:r>
        <w:t xml:space="preserve">TEC’s mythology draws on pre‑Big Bang cosmology, cyclic universes and the idea of a cosmic neural network. These concepts allow horror to transcend individual fate and ask questions about existence itself. Let stories hint at:</w:t>
      </w:r>
    </w:p>
    <w:p>
      <w:pPr>
        <w:pStyle w:val="Compact"/>
        <w:numPr>
          <w:ilvl w:val="0"/>
          <w:numId w:val="1005"/>
        </w:numPr>
      </w:pPr>
      <w:r>
        <w:rPr>
          <w:b/>
          <w:bCs/>
        </w:rPr>
        <w:t xml:space="preserve">Ancient cycles:</w:t>
      </w:r>
      <w:r>
        <w:t xml:space="preserve"> </w:t>
      </w:r>
      <w:r>
        <w:t xml:space="preserve">Cosmic bounces where previous universes collapse and seed the next</w:t>
      </w:r>
      <w:hyperlink r:id="rId22">
        <w:r>
          <w:rPr>
            <w:rStyle w:val="Hyperlink"/>
          </w:rPr>
          <w:t xml:space="preserve">[1]</w:t>
        </w:r>
      </w:hyperlink>
      <w:r>
        <w:t xml:space="preserve">.</w:t>
      </w:r>
    </w:p>
    <w:p>
      <w:pPr>
        <w:pStyle w:val="Compact"/>
        <w:numPr>
          <w:ilvl w:val="0"/>
          <w:numId w:val="1005"/>
        </w:numPr>
      </w:pPr>
      <w:r>
        <w:rPr>
          <w:b/>
          <w:bCs/>
        </w:rPr>
        <w:t xml:space="preserve">Strange matter &amp; Essences:</w:t>
      </w:r>
      <w:r>
        <w:t xml:space="preserve"> </w:t>
      </w:r>
      <w:r>
        <w:t xml:space="preserve">Reality‑rewriting substances that challenge physics and biology, like Reap and strangelets.</w:t>
      </w:r>
    </w:p>
    <w:p>
      <w:pPr>
        <w:pStyle w:val="Compact"/>
        <w:numPr>
          <w:ilvl w:val="0"/>
          <w:numId w:val="1005"/>
        </w:numPr>
      </w:pPr>
      <w:r>
        <w:rPr>
          <w:b/>
          <w:bCs/>
        </w:rPr>
        <w:t xml:space="preserve">Information as reality:</w:t>
      </w:r>
      <w:r>
        <w:t xml:space="preserve"> </w:t>
      </w:r>
      <w:r>
        <w:t xml:space="preserve">Treat spells and code interchangeably. Magic is software; biology is hardware. This supports plot devices where rewriting DNA is akin to hacking the universe.</w:t>
      </w:r>
    </w:p>
    <w:bookmarkEnd w:id="29"/>
    <w:bookmarkStart w:id="30" w:name="design-mechanics-that-reflect-themes"/>
    <w:p>
      <w:pPr>
        <w:pStyle w:val="Heading3"/>
      </w:pPr>
      <w:r>
        <w:t xml:space="preserve">2.5 Design Mechanics That Reflect Themes</w:t>
      </w:r>
    </w:p>
    <w:p>
      <w:pPr>
        <w:pStyle w:val="FirstParagraph"/>
      </w:pPr>
      <w:r>
        <w:t xml:space="preserve">For interactive or game‑like stories, incorporate mechanics that mirror philosophical stakes:</w:t>
      </w:r>
    </w:p>
    <w:p>
      <w:pPr>
        <w:pStyle w:val="Compact"/>
        <w:numPr>
          <w:ilvl w:val="0"/>
          <w:numId w:val="1006"/>
        </w:numPr>
      </w:pPr>
      <w:r>
        <w:rPr>
          <w:b/>
          <w:bCs/>
        </w:rPr>
        <w:t xml:space="preserve">Hope &amp; Despair Meter:</w:t>
      </w:r>
      <w:r>
        <w:t xml:space="preserve"> </w:t>
      </w:r>
      <w:r>
        <w:t xml:space="preserve">High hope grants bonuses but attracts predators; low hope grants stealth but erodes humanity.</w:t>
      </w:r>
    </w:p>
    <w:p>
      <w:pPr>
        <w:pStyle w:val="Compact"/>
        <w:numPr>
          <w:ilvl w:val="0"/>
          <w:numId w:val="1006"/>
        </w:numPr>
      </w:pPr>
      <w:r>
        <w:rPr>
          <w:b/>
          <w:bCs/>
        </w:rPr>
        <w:t xml:space="preserve">Mourning Index:</w:t>
      </w:r>
      <w:r>
        <w:t xml:space="preserve"> </w:t>
      </w:r>
      <w:r>
        <w:t xml:space="preserve">Taking time to honour the dead boosts morale but risks attacks; skipping rituals costs sanity.</w:t>
      </w:r>
    </w:p>
    <w:p>
      <w:pPr>
        <w:pStyle w:val="Compact"/>
        <w:numPr>
          <w:ilvl w:val="0"/>
          <w:numId w:val="1006"/>
        </w:numPr>
      </w:pPr>
      <w:r>
        <w:rPr>
          <w:b/>
          <w:bCs/>
        </w:rPr>
        <w:t xml:space="preserve">Fracture System:</w:t>
      </w:r>
      <w:r>
        <w:t xml:space="preserve"> </w:t>
      </w:r>
      <w:r>
        <w:t xml:space="preserve">Stress events (hunger, betrayal, loss) erode group cohesion, spawning splinter factions or hallucinations.</w:t>
      </w:r>
    </w:p>
    <w:p>
      <w:pPr>
        <w:pStyle w:val="Compact"/>
        <w:numPr>
          <w:ilvl w:val="0"/>
          <w:numId w:val="1006"/>
        </w:numPr>
      </w:pPr>
      <w:r>
        <w:rPr>
          <w:b/>
          <w:bCs/>
        </w:rPr>
        <w:t xml:space="preserve">Vice Economy:</w:t>
      </w:r>
      <w:r>
        <w:t xml:space="preserve"> </w:t>
      </w:r>
      <w:r>
        <w:t xml:space="preserve">Using Reap or other substances gives temporary power but racks up an “entropy debt” that transforms characters or worlds later.</w:t>
      </w:r>
    </w:p>
    <w:bookmarkEnd w:id="30"/>
    <w:bookmarkStart w:id="31" w:name="ensure-diversity-authenticity"/>
    <w:p>
      <w:pPr>
        <w:pStyle w:val="Heading3"/>
      </w:pPr>
      <w:r>
        <w:t xml:space="preserve">2.6 Ensure Diversity &amp; Authenticity</w:t>
      </w:r>
    </w:p>
    <w:p>
      <w:pPr>
        <w:pStyle w:val="FirstParagraph"/>
      </w:pPr>
      <w:r>
        <w:t xml:space="preserve">Avoid flattening cultures into stereotypes. Casting Benicio and Guillermo del Toro together doesn’t make them related; diversity is not a monolith. Represent Latino, Indigenous, Afro‑descendant, queer and neurodivergent characters with nuance. The AI collaboration banner underscores that TEC is both human and machine; apply that transparency to representation too.</w:t>
      </w:r>
    </w:p>
    <w:bookmarkEnd w:id="31"/>
    <w:bookmarkStart w:id="32" w:name="allow-for-redemption-growth"/>
    <w:p>
      <w:pPr>
        <w:pStyle w:val="Heading3"/>
      </w:pPr>
      <w:r>
        <w:t xml:space="preserve">2.7 Allow for Redemption &amp; Growth</w:t>
      </w:r>
    </w:p>
    <w:p>
      <w:pPr>
        <w:pStyle w:val="FirstParagraph"/>
      </w:pPr>
      <w:r>
        <w:t xml:space="preserve">Horror often ends in nihilism, but TEC allows for</w:t>
      </w:r>
      <w:r>
        <w:t xml:space="preserve"> </w:t>
      </w:r>
      <w:r>
        <w:rPr>
          <w:b/>
          <w:bCs/>
        </w:rPr>
        <w:t xml:space="preserve">post‑traumatic growth</w:t>
      </w:r>
      <w:r>
        <w:t xml:space="preserve">—characters who reinvent themselves after ruin. Even if the world ends, individuals can find purpose, create communities and birth new myths. Stories should balance despair with the possibility of renewal.</w:t>
      </w:r>
    </w:p>
    <w:bookmarkEnd w:id="32"/>
    <w:bookmarkEnd w:id="33"/>
    <w:bookmarkStart w:id="34" w:name="conclusion"/>
    <w:p>
      <w:pPr>
        <w:pStyle w:val="Heading2"/>
      </w:pPr>
      <w:r>
        <w:t xml:space="preserve">3 Conclusion</w:t>
      </w:r>
    </w:p>
    <w:p>
      <w:pPr>
        <w:pStyle w:val="FirstParagraph"/>
      </w:pPr>
      <w:r>
        <w:t xml:space="preserve">Polkin views horror as a crucible that reveals who we become when systems fail. Monsters are mirrors; the real adversary is the decay of values and the indifference of the universe. By following the guidelines above—anchoring stories in the Eight Axioms, using horror to interrogate ethics, building tension through relationships, weaving in cosmic wonder and designing mechanics that embody these themes—you can craft stories in TEC that are both terrifying and meaningful.</w:t>
      </w:r>
    </w:p>
    <w:bookmarkEnd w:id="34"/>
    <w:bookmarkEnd w:id="35"/>
    <w:bookmarkEnd w:id="36"/>
    <w:p>
      <w:r>
        <w:pict>
          <v:rect style="width:0;height:1.5pt" o:hralign="center" o:hrstd="t" o:hr="t"/>
        </w:pict>
      </w:r>
    </w:p>
    <w:bookmarkStart w:id="37" w:name="citations"/>
    <w:p>
      <w:pPr>
        <w:pStyle w:val="FirstParagraph"/>
      </w:pPr>
      <w:hyperlink r:id="rId22">
        <w:r>
          <w:rPr>
            <w:rStyle w:val="Hyperlink"/>
          </w:rPr>
          <w:t xml:space="preserve">[1]</w:t>
        </w:r>
      </w:hyperlink>
      <w:r>
        <w:t xml:space="preserve"> </w:t>
      </w:r>
      <w:r>
        <w:t xml:space="preserve">Design Brief: The Sigil of the Eight Axioms</w:t>
      </w:r>
    </w:p>
    <w:p>
      <w:pPr>
        <w:pStyle w:val="BodyText"/>
      </w:pPr>
      <w:hyperlink r:id="rId22">
        <w:r>
          <w:rPr>
            <w:rStyle w:val="Hyperlink"/>
          </w:rPr>
          <w:t xml:space="preserve">https://docs.google.com/document/d/1OcQY2Rpgogro0RA_7sZ5qcHZcBfaLbJW4b4kOvGGfTg</w:t>
        </w:r>
      </w:hyperlink>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google.com/document/d/1OcQY2Rpgogro0RA_7sZ5qcHZcBfaLbJW4b4kOvGGfTg" TargetMode="External" /></Relationships>
</file>

<file path=word/_rels/footnotes.xml.rels><?xml version="1.0" encoding="UTF-8"?><Relationships xmlns="http://schemas.openxmlformats.org/package/2006/relationships"><Relationship Type="http://schemas.openxmlformats.org/officeDocument/2006/relationships/hyperlink" Id="rId22" Target="https://docs.google.com/document/d/1OcQY2Rpgogro0RA_7sZ5qcHZcBfaLbJW4b4kOvGGf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2025-08-23T01:01:03Z</dcterms:created>
  <dcterms:modified xsi:type="dcterms:W3CDTF">2025-08-23T01:01:03Z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